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56BE5" w14:textId="49AC0A65" w:rsidR="00FF1977" w:rsidRPr="00242D30" w:rsidRDefault="00242D30" w:rsidP="00242D30">
      <w:pPr>
        <w:widowControl w:val="0"/>
        <w:jc w:val="right"/>
        <w:rPr>
          <w:rFonts w:ascii="Times New Roman" w:eastAsia="Times New Roman" w:hAnsi="Times New Roman"/>
          <w:bCs/>
          <w:caps/>
          <w:sz w:val="20"/>
          <w:szCs w:val="18"/>
          <w:lang w:eastAsia="lt-LT"/>
        </w:rPr>
      </w:pPr>
      <w:r w:rsidRPr="00242D30">
        <w:rPr>
          <w:rFonts w:ascii="Times New Roman" w:eastAsia="Times New Roman" w:hAnsi="Times New Roman"/>
          <w:bCs/>
          <w:sz w:val="20"/>
          <w:szCs w:val="18"/>
          <w:lang w:eastAsia="lt-LT"/>
        </w:rPr>
        <w:t>Pirkimo sąlygų 1 priedas</w:t>
      </w:r>
    </w:p>
    <w:p w14:paraId="06106683" w14:textId="048D28DD" w:rsidR="006442B2" w:rsidRPr="006442B2" w:rsidRDefault="006442B2" w:rsidP="006442B2">
      <w:pPr>
        <w:widowControl w:val="0"/>
        <w:jc w:val="center"/>
        <w:rPr>
          <w:rFonts w:ascii="Times New Roman" w:eastAsia="Times New Roman" w:hAnsi="Times New Roman"/>
          <w:b/>
          <w:caps/>
          <w:sz w:val="24"/>
          <w:lang w:eastAsia="lt-LT"/>
        </w:rPr>
      </w:pPr>
      <w:r w:rsidRPr="006442B2">
        <w:rPr>
          <w:rFonts w:ascii="Times New Roman" w:eastAsia="Times New Roman" w:hAnsi="Times New Roman"/>
          <w:b/>
          <w:caps/>
          <w:sz w:val="24"/>
          <w:lang w:eastAsia="lt-LT"/>
        </w:rPr>
        <w:t>Draudimo tarpininko (brokerio) paslaugos</w:t>
      </w:r>
    </w:p>
    <w:p w14:paraId="3E395F78" w14:textId="77777777" w:rsidR="006442B2" w:rsidRPr="006442B2" w:rsidRDefault="006442B2" w:rsidP="006442B2">
      <w:pPr>
        <w:widowControl w:val="0"/>
        <w:autoSpaceDN/>
        <w:spacing w:after="0" w:line="240" w:lineRule="auto"/>
        <w:jc w:val="center"/>
        <w:rPr>
          <w:rFonts w:ascii="Times New Roman" w:eastAsia="Times New Roman" w:hAnsi="Times New Roman"/>
          <w:b/>
          <w:sz w:val="24"/>
          <w:lang w:eastAsia="lt-LT"/>
        </w:rPr>
      </w:pPr>
      <w:r w:rsidRPr="006442B2">
        <w:rPr>
          <w:rFonts w:ascii="Times New Roman" w:eastAsia="Times New Roman" w:hAnsi="Times New Roman"/>
          <w:b/>
          <w:sz w:val="24"/>
          <w:lang w:eastAsia="lt-LT"/>
        </w:rPr>
        <w:t>TECHNINĖ SPECIFIKACIJA</w:t>
      </w:r>
    </w:p>
    <w:p w14:paraId="4881A4DD" w14:textId="77777777" w:rsidR="006442B2" w:rsidRPr="006442B2" w:rsidRDefault="006442B2" w:rsidP="00AE64DE">
      <w:pPr>
        <w:widowControl w:val="0"/>
        <w:autoSpaceDN/>
        <w:spacing w:after="0" w:line="240" w:lineRule="auto"/>
        <w:rPr>
          <w:rFonts w:ascii="Times New Roman" w:eastAsia="Times New Roman" w:hAnsi="Times New Roman"/>
          <w:b/>
          <w:sz w:val="24"/>
          <w:lang w:eastAsia="lt-LT"/>
        </w:rPr>
      </w:pPr>
    </w:p>
    <w:p w14:paraId="309E9C3C" w14:textId="77777777" w:rsidR="006442B2" w:rsidRPr="006442B2" w:rsidRDefault="006442B2" w:rsidP="006442B2">
      <w:pPr>
        <w:widowControl w:val="0"/>
        <w:autoSpaceDN/>
        <w:spacing w:after="0" w:line="240" w:lineRule="auto"/>
        <w:jc w:val="center"/>
        <w:rPr>
          <w:rFonts w:ascii="Times New Roman" w:eastAsia="Times New Roman" w:hAnsi="Times New Roman"/>
          <w:b/>
          <w:sz w:val="24"/>
          <w:lang w:eastAsia="lt-LT"/>
        </w:rPr>
      </w:pPr>
    </w:p>
    <w:p w14:paraId="4FDC7D7E" w14:textId="77777777" w:rsidR="006442B2" w:rsidRPr="006442B2" w:rsidRDefault="006442B2" w:rsidP="006442B2">
      <w:pPr>
        <w:autoSpaceDN/>
        <w:spacing w:after="0" w:line="240" w:lineRule="auto"/>
        <w:contextualSpacing/>
        <w:jc w:val="center"/>
        <w:textAlignment w:val="baseline"/>
        <w:rPr>
          <w:rFonts w:ascii="Times New Roman" w:eastAsia="Times New Roman" w:hAnsi="Times New Roman"/>
          <w:b/>
          <w:color w:val="000000"/>
          <w:spacing w:val="1"/>
          <w:szCs w:val="20"/>
        </w:rPr>
      </w:pPr>
      <w:r w:rsidRPr="006442B2">
        <w:rPr>
          <w:rFonts w:ascii="Times New Roman" w:eastAsia="Times New Roman" w:hAnsi="Times New Roman"/>
          <w:b/>
          <w:color w:val="000000"/>
          <w:spacing w:val="1"/>
          <w:szCs w:val="20"/>
        </w:rPr>
        <w:t>1. SĄVOKOS IR SUTRUMPINIMAI</w:t>
      </w:r>
    </w:p>
    <w:p w14:paraId="58C7207D" w14:textId="77777777" w:rsidR="006442B2" w:rsidRPr="006442B2" w:rsidRDefault="006442B2" w:rsidP="006442B2">
      <w:pPr>
        <w:autoSpaceDN/>
        <w:spacing w:after="0" w:line="240" w:lineRule="auto"/>
        <w:contextualSpacing/>
        <w:textAlignment w:val="baseline"/>
        <w:rPr>
          <w:rFonts w:ascii="Times New Roman" w:eastAsia="Times New Roman" w:hAnsi="Times New Roman"/>
          <w:b/>
          <w:color w:val="000000"/>
          <w:spacing w:val="1"/>
          <w:szCs w:val="20"/>
        </w:rPr>
      </w:pPr>
    </w:p>
    <w:p w14:paraId="6A3653D1"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szCs w:val="20"/>
        </w:rPr>
        <w:t>1.1. Perkantysis subjektas</w:t>
      </w:r>
      <w:r w:rsidRPr="006442B2">
        <w:rPr>
          <w:rFonts w:ascii="Times New Roman" w:eastAsia="Times New Roman" w:hAnsi="Times New Roman"/>
          <w:color w:val="000000"/>
          <w:szCs w:val="20"/>
        </w:rPr>
        <w:t xml:space="preserve"> – </w:t>
      </w:r>
      <w:r w:rsidRPr="006442B2">
        <w:rPr>
          <w:rFonts w:ascii="Times New Roman" w:eastAsia="Times New Roman" w:hAnsi="Times New Roman"/>
          <w:szCs w:val="20"/>
        </w:rPr>
        <w:t>UAB „Vilniaus viešasis transportas“, Žolyno g. 15, LT-10209 Vilnius, įmonės kodas 302683277</w:t>
      </w:r>
      <w:r w:rsidRPr="006442B2">
        <w:rPr>
          <w:rFonts w:ascii="Times New Roman" w:eastAsia="Times New Roman" w:hAnsi="Times New Roman"/>
          <w:color w:val="000000"/>
          <w:szCs w:val="20"/>
        </w:rPr>
        <w:t>.</w:t>
      </w:r>
    </w:p>
    <w:p w14:paraId="413A7528"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1"/>
          <w:szCs w:val="20"/>
        </w:rPr>
        <w:t>1.2. Paslaugų teikėjas – ūkio subjektas – fizinis asmuo, privatusis juridinis asmuo, viešasis</w:t>
      </w:r>
      <w:r w:rsidRPr="006442B2">
        <w:rPr>
          <w:rFonts w:ascii="Times New Roman" w:eastAsia="Times New Roman" w:hAnsi="Times New Roman"/>
          <w:color w:val="000000"/>
          <w:szCs w:val="20"/>
        </w:rPr>
        <w:t xml:space="preserve"> </w:t>
      </w:r>
      <w:r w:rsidRPr="006442B2">
        <w:rPr>
          <w:rFonts w:ascii="Times New Roman" w:eastAsia="Times New Roman" w:hAnsi="Times New Roman"/>
          <w:color w:val="000000"/>
          <w:spacing w:val="-2"/>
          <w:szCs w:val="20"/>
        </w:rPr>
        <w:t>juridinis asmuo, kitos organizacijos ir jų padaliniai ar tokių asmenų grupė, kuris bus pripažintas vykdomo viešojo pirkimo laimėtoju ir su kuriuo Perkantysis subjektas sudarys</w:t>
      </w:r>
      <w:r w:rsidRPr="006442B2">
        <w:rPr>
          <w:rFonts w:ascii="Times New Roman" w:eastAsia="Times New Roman" w:hAnsi="Times New Roman"/>
          <w:color w:val="000000"/>
          <w:szCs w:val="20"/>
        </w:rPr>
        <w:t xml:space="preserve"> </w:t>
      </w:r>
      <w:r w:rsidRPr="006442B2">
        <w:rPr>
          <w:rFonts w:ascii="Times New Roman" w:eastAsia="Times New Roman" w:hAnsi="Times New Roman"/>
          <w:color w:val="000000"/>
          <w:spacing w:val="-8"/>
          <w:szCs w:val="20"/>
        </w:rPr>
        <w:t>sutartį.</w:t>
      </w:r>
    </w:p>
    <w:p w14:paraId="7AAD5F83" w14:textId="77777777" w:rsidR="006442B2" w:rsidRPr="006442B2" w:rsidRDefault="006442B2" w:rsidP="006442B2">
      <w:pPr>
        <w:tabs>
          <w:tab w:val="left" w:pos="851"/>
          <w:tab w:val="left" w:pos="1134"/>
        </w:tabs>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1.3. Sutartis – viešojo pirkimo sutartis draudimo tarpininko (brokerio) paslaugoms pirkti, sudaroma tarp Perkančiojo subjekto ir Paslaugų teikėjo.</w:t>
      </w:r>
    </w:p>
    <w:p w14:paraId="68361894"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1"/>
          <w:szCs w:val="20"/>
        </w:rPr>
        <w:t xml:space="preserve">1.4. Draudimo bendrovė – ūkio subjektas (juridinis asmuo), turintis teisę vykdyti atitinkamos </w:t>
      </w:r>
      <w:r w:rsidRPr="006442B2">
        <w:rPr>
          <w:rFonts w:ascii="Times New Roman" w:eastAsia="Times New Roman" w:hAnsi="Times New Roman"/>
          <w:color w:val="000000"/>
          <w:szCs w:val="20"/>
        </w:rPr>
        <w:t xml:space="preserve">draudimo grupės draudimo veiklą, su kuriuo, tarpininkaujant Paslaugų teikėjui, Perkantysis subjektas sudarys </w:t>
      </w:r>
      <w:r w:rsidRPr="006442B2">
        <w:rPr>
          <w:rFonts w:ascii="Times New Roman" w:eastAsia="Times New Roman" w:hAnsi="Times New Roman"/>
          <w:color w:val="000000"/>
          <w:spacing w:val="-3"/>
          <w:szCs w:val="20"/>
        </w:rPr>
        <w:t>draudimo paslaugų sutartį.</w:t>
      </w:r>
    </w:p>
    <w:p w14:paraId="7E59C67F"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p>
    <w:p w14:paraId="5520E315" w14:textId="77777777" w:rsidR="006442B2" w:rsidRPr="006442B2" w:rsidRDefault="006442B2" w:rsidP="006442B2">
      <w:pPr>
        <w:autoSpaceDN/>
        <w:spacing w:after="0" w:line="240" w:lineRule="auto"/>
        <w:contextualSpacing/>
        <w:jc w:val="center"/>
        <w:textAlignment w:val="baseline"/>
        <w:rPr>
          <w:rFonts w:ascii="Times New Roman" w:eastAsia="Times New Roman" w:hAnsi="Times New Roman"/>
          <w:color w:val="000000"/>
          <w:szCs w:val="20"/>
        </w:rPr>
      </w:pPr>
      <w:r w:rsidRPr="006442B2">
        <w:rPr>
          <w:rFonts w:ascii="Times New Roman" w:eastAsia="Times New Roman" w:hAnsi="Times New Roman"/>
          <w:b/>
          <w:color w:val="000000"/>
          <w:spacing w:val="2"/>
          <w:szCs w:val="20"/>
        </w:rPr>
        <w:t>2. PIRKIMO OBJEKTAS IR JAM KELIAMI REIKALAVIMAI</w:t>
      </w:r>
    </w:p>
    <w:p w14:paraId="69B47AA9" w14:textId="77777777" w:rsidR="006442B2" w:rsidRPr="006442B2" w:rsidRDefault="006442B2" w:rsidP="006442B2">
      <w:pPr>
        <w:autoSpaceDN/>
        <w:spacing w:after="0" w:line="240" w:lineRule="auto"/>
        <w:contextualSpacing/>
        <w:textAlignment w:val="baseline"/>
        <w:rPr>
          <w:rFonts w:ascii="Times New Roman" w:eastAsia="Times New Roman" w:hAnsi="Times New Roman"/>
          <w:color w:val="000000"/>
          <w:szCs w:val="20"/>
        </w:rPr>
      </w:pPr>
    </w:p>
    <w:p w14:paraId="4BD2A406"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2.1. Pirkimo objektas – draudimo tarpininko ir konsultanto (draudimo brokerio) paslaugos, susijusios su Perkančiojo subjekto rizikų jo veikloje nustatymu bei įvertinimu, konsultavimu ir tarpininkavimu sudarant draudimo sutartis su Draudimo bendrovėmis bei jas administruojant (toliau – Paslaugos). Pirkimo objektas į dalis neskaidomas.</w:t>
      </w:r>
    </w:p>
    <w:p w14:paraId="6AEB52F8"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 xml:space="preserve">2.2. Perkamas Paslaugas sudaro (privaloma Paslaugų apimtis, kurią Paslaugų teikėjas turės teikti vykdydamas Sutartį): </w:t>
      </w:r>
    </w:p>
    <w:p w14:paraId="60DAD74C"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 xml:space="preserve">2.2.1. Perkančiojo subjekto veiklos ir objektų analizė, draudžiamųjų rizikų ir pavojų Perkančiojo subjekto veikloje nustatymas, jų vertinimas, duomenų sisteminimas ir analizė, nustatytų rizikų klasifikavimas, </w:t>
      </w:r>
      <w:r w:rsidRPr="006442B2">
        <w:rPr>
          <w:rFonts w:ascii="Times New Roman" w:eastAsia="Times New Roman" w:hAnsi="Times New Roman"/>
          <w:color w:val="000000"/>
          <w:spacing w:val="-3"/>
          <w:szCs w:val="20"/>
        </w:rPr>
        <w:t>Perkančiojo subjekto jau sudarytų ir dar galiojančių draudimo sutarčių įvertinimas</w:t>
      </w:r>
      <w:r w:rsidRPr="006442B2">
        <w:rPr>
          <w:rFonts w:ascii="Times New Roman" w:eastAsia="Times New Roman" w:hAnsi="Times New Roman"/>
          <w:color w:val="000000"/>
          <w:szCs w:val="20"/>
        </w:rPr>
        <w:t>;</w:t>
      </w:r>
    </w:p>
    <w:p w14:paraId="46826B55"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pacing w:val="-3"/>
          <w:szCs w:val="20"/>
        </w:rPr>
      </w:pPr>
      <w:r w:rsidRPr="006442B2">
        <w:rPr>
          <w:rFonts w:ascii="Times New Roman" w:eastAsia="Times New Roman" w:hAnsi="Times New Roman"/>
          <w:szCs w:val="20"/>
        </w:rPr>
        <w:t>2.2.2. rizikų valdymo ir draudimo programos pristatymas,</w:t>
      </w:r>
      <w:r w:rsidRPr="006442B2">
        <w:rPr>
          <w:rFonts w:ascii="Times New Roman" w:eastAsia="Times New Roman" w:hAnsi="Times New Roman"/>
          <w:color w:val="000000"/>
          <w:szCs w:val="20"/>
        </w:rPr>
        <w:t xml:space="preserve"> išvadų, siūlymų bei rekomendacijų teikimas dėl Perkančiojo subjekto veikloje nustatytų rizikų valdymo, rizikų vertinimo ataskaitų ruošimas,</w:t>
      </w:r>
      <w:r w:rsidRPr="006442B2">
        <w:rPr>
          <w:rFonts w:ascii="Times New Roman" w:eastAsia="Times New Roman" w:hAnsi="Times New Roman"/>
          <w:color w:val="000000"/>
          <w:spacing w:val="-3"/>
          <w:szCs w:val="20"/>
        </w:rPr>
        <w:t xml:space="preserve"> konsultacijų ir pasiūlymų teikimas dėl rizikų draudimo apimčių, modelių, eiliškumo bei terminų;</w:t>
      </w:r>
    </w:p>
    <w:p w14:paraId="145C64DD"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 xml:space="preserve">2.2.3. Perkančiojo subjekto jau sudarytų ir dar galiojančių draudimo sutarčių administravimas, išskyrus draudimo sutartis, kuriose numatyta, jog jas administruoja kiti draudimo brokeriai. Su Perkančiojo subjekto jau sudarytomis ir dar galiojančiomis draudimo sutartimis galima susipažinti adresu </w:t>
      </w:r>
      <w:hyperlink r:id="rId11" w:history="1">
        <w:r w:rsidRPr="006442B2">
          <w:rPr>
            <w:rFonts w:ascii="Times New Roman" w:eastAsia="Times New Roman" w:hAnsi="Times New Roman"/>
            <w:color w:val="0000FF"/>
            <w:szCs w:val="20"/>
            <w:u w:val="single"/>
          </w:rPr>
          <w:t>http://www.cvpp.lt/</w:t>
        </w:r>
      </w:hyperlink>
      <w:r w:rsidRPr="006442B2">
        <w:rPr>
          <w:rFonts w:ascii="Times New Roman" w:eastAsia="Times New Roman" w:hAnsi="Times New Roman"/>
          <w:color w:val="000000"/>
          <w:szCs w:val="20"/>
        </w:rPr>
        <w:t>. Galiojančių draudimo sutarčių administravimas apima 2.2.8 – 2.2.13 punktuose nurodytas paslaugas;</w:t>
      </w:r>
    </w:p>
    <w:p w14:paraId="3796229D"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 xml:space="preserve">2.2.4. konsultacijos ir visokeriopa pagalba Perkančiajam subjektui rengiant draudimo paslaugų pirkimo technines specifikacijas ir nustatant reikalavimus draudimo sutartims </w:t>
      </w:r>
      <w:r w:rsidRPr="006442B2">
        <w:rPr>
          <w:rFonts w:ascii="Times New Roman" w:eastAsia="Times New Roman" w:hAnsi="Times New Roman"/>
          <w:szCs w:val="20"/>
        </w:rPr>
        <w:t>pagal viešųjų pirkimų teisės aktų reikalavimus</w:t>
      </w:r>
      <w:r w:rsidRPr="006442B2">
        <w:rPr>
          <w:rFonts w:ascii="Times New Roman" w:eastAsia="Times New Roman" w:hAnsi="Times New Roman"/>
          <w:color w:val="000000"/>
          <w:szCs w:val="20"/>
        </w:rPr>
        <w:t xml:space="preserve">, įskaitant, bet neapsiribojant esminių jų sąlygų, susijusių su draudžiamųjų įvykių sąvokomis, įvykių pripažinimo draudžiamaisiais, jų administravimo, administravimo terminų, draudimo išmokų mažinimo ir (ar) atleidimo nuo draudimo išmokos pagrindais, šalių atsakomybės, limitų ir </w:t>
      </w:r>
      <w:proofErr w:type="spellStart"/>
      <w:r w:rsidRPr="006442B2">
        <w:rPr>
          <w:rFonts w:ascii="Times New Roman" w:eastAsia="Times New Roman" w:hAnsi="Times New Roman"/>
          <w:color w:val="000000"/>
          <w:szCs w:val="20"/>
        </w:rPr>
        <w:t>sublimitų</w:t>
      </w:r>
      <w:proofErr w:type="spellEnd"/>
      <w:r w:rsidRPr="006442B2">
        <w:rPr>
          <w:rFonts w:ascii="Times New Roman" w:eastAsia="Times New Roman" w:hAnsi="Times New Roman"/>
          <w:color w:val="000000"/>
          <w:szCs w:val="20"/>
        </w:rPr>
        <w:t xml:space="preserve"> atskiriems draudžiamiesiems įvykiams nustatymas;</w:t>
      </w:r>
    </w:p>
    <w:p w14:paraId="15BAC0F2"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2.2.5. pagalba / konsultavimas atsakant į draudikų pateikiamus klausimus rinkos konsultacijų ar pirkimų vykdymo metu draudimo paslaugoms įsigyti;</w:t>
      </w:r>
    </w:p>
    <w:p w14:paraId="3888CA92"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 xml:space="preserve">2.2.6. pagalba / konsultavimas, o </w:t>
      </w:r>
      <w:r w:rsidRPr="006442B2">
        <w:rPr>
          <w:rFonts w:ascii="Times New Roman" w:eastAsia="Times New Roman" w:hAnsi="Times New Roman"/>
          <w:szCs w:val="20"/>
        </w:rPr>
        <w:t>esant poreikiui ir dalyvavimas</w:t>
      </w:r>
      <w:r w:rsidRPr="006442B2" w:rsidDel="00B6001A">
        <w:rPr>
          <w:rFonts w:ascii="Times New Roman" w:eastAsia="Times New Roman" w:hAnsi="Times New Roman"/>
          <w:szCs w:val="20"/>
        </w:rPr>
        <w:t xml:space="preserve"> </w:t>
      </w:r>
      <w:r w:rsidRPr="006442B2">
        <w:rPr>
          <w:rFonts w:ascii="Times New Roman" w:eastAsia="Times New Roman" w:hAnsi="Times New Roman"/>
          <w:szCs w:val="20"/>
        </w:rPr>
        <w:t xml:space="preserve">draudimo paslaugų pirkime eksperto rolėje, analizuojant ir vertinant draudimo bendrovių pateiktus pasiūlymus, jų atitikimą </w:t>
      </w:r>
      <w:r w:rsidRPr="006442B2">
        <w:rPr>
          <w:rFonts w:ascii="Times New Roman" w:eastAsia="Times New Roman" w:hAnsi="Times New Roman"/>
          <w:color w:val="000000"/>
          <w:spacing w:val="-1"/>
          <w:szCs w:val="20"/>
        </w:rPr>
        <w:t xml:space="preserve">pirkimų sąlygų reikalavimams, </w:t>
      </w:r>
      <w:r w:rsidRPr="006442B2">
        <w:rPr>
          <w:rFonts w:ascii="Times New Roman" w:eastAsia="Times New Roman" w:hAnsi="Times New Roman"/>
          <w:szCs w:val="20"/>
        </w:rPr>
        <w:t>įskaitant gautų pasiūlymų, polisų projektų vertinimą bei dalyvavimą derybose atstovaujant Perkančiojo subjekto interesus, atsakymų į draudimo paslaugų pirkimų dalyvių klausimus, susijusius su pirkimo objektu, pateikimą;</w:t>
      </w:r>
    </w:p>
    <w:p w14:paraId="72D027E4"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2.2.7. konsultavimas ir tarpininkavimas sudarant draudimo sutartis;</w:t>
      </w:r>
    </w:p>
    <w:p w14:paraId="36974266"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1"/>
          <w:szCs w:val="20"/>
        </w:rPr>
        <w:t>2.2.8. draudimo sutarčių administravimas pagal Perkančiojo subjekto formuojamus poreikius (tokių kaip Perkančiojo subjekto informavimas apie poreikį apdrausti transporto priemones (draudimo polisų įsigaliojimo pradžios ir pabaigos kontrolė) ir kt., informavimas apie draudimo bendrovių netinkamai vykdomus įsipareigojimus (įvairūs vėlavimai, įsipareigojimų nevykdymas ir pan.) ir t. t.;</w:t>
      </w:r>
    </w:p>
    <w:p w14:paraId="63DB2489"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1"/>
          <w:szCs w:val="20"/>
        </w:rPr>
        <w:t>2.2.9. draudimo sutarčių atnaujinimas pagal Perkančiojo subjekto formuojamus poreikius;</w:t>
      </w:r>
    </w:p>
    <w:p w14:paraId="691581AB"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1"/>
          <w:szCs w:val="20"/>
        </w:rPr>
        <w:t>2.2.10. draudimo sutarčių sąlygų vykdymo kontrolė;</w:t>
      </w:r>
    </w:p>
    <w:p w14:paraId="791C7E85"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3"/>
          <w:szCs w:val="20"/>
        </w:rPr>
        <w:t>2.2.11. draudimo įmokų mokėjimo kontrolė;</w:t>
      </w:r>
    </w:p>
    <w:p w14:paraId="552EA8C1"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pacing w:val="-2"/>
          <w:szCs w:val="20"/>
        </w:rPr>
      </w:pPr>
      <w:r w:rsidRPr="006442B2">
        <w:rPr>
          <w:rFonts w:ascii="Times New Roman" w:eastAsia="Times New Roman" w:hAnsi="Times New Roman"/>
          <w:color w:val="000000"/>
          <w:spacing w:val="-2"/>
          <w:szCs w:val="20"/>
        </w:rPr>
        <w:lastRenderedPageBreak/>
        <w:t>2.2.12. draudžiamųjų įvykių administravimas (trečiųjų šalių žalų (nuostolių) reguliavimas neadministruojamas):</w:t>
      </w:r>
    </w:p>
    <w:p w14:paraId="7A0CD870"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pacing w:val="-3"/>
        </w:rPr>
      </w:pPr>
      <w:r w:rsidRPr="006442B2">
        <w:rPr>
          <w:rFonts w:ascii="Times New Roman" w:eastAsia="Times New Roman" w:hAnsi="Times New Roman"/>
          <w:color w:val="000000"/>
          <w:spacing w:val="-2"/>
        </w:rPr>
        <w:t xml:space="preserve">2.2.12.1. </w:t>
      </w:r>
      <w:r w:rsidRPr="006442B2">
        <w:rPr>
          <w:rFonts w:ascii="Times New Roman" w:eastAsia="Times New Roman" w:hAnsi="Times New Roman"/>
          <w:color w:val="000000"/>
          <w:spacing w:val="-3"/>
        </w:rPr>
        <w:t>konsultacijų teikimas (žodžiu/raštu) atsitikus draudžiamajam įvykiui;</w:t>
      </w:r>
    </w:p>
    <w:p w14:paraId="59D84935"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b/>
          <w:bCs/>
          <w:color w:val="000000"/>
          <w:spacing w:val="-4"/>
        </w:rPr>
      </w:pPr>
      <w:r w:rsidRPr="006442B2">
        <w:rPr>
          <w:rFonts w:ascii="Times New Roman" w:eastAsia="Times New Roman" w:hAnsi="Times New Roman"/>
          <w:color w:val="000000"/>
          <w:spacing w:val="-4"/>
        </w:rPr>
        <w:t xml:space="preserve">2.2.12.2. draudžiamojo įvykio administravimo eigos kontrolė, kuri apima: pranešto draudžiamojo įvykio registravimą, sąmatų derinimą, priežasčių nustatymą ir analizę draudimo brokerio kompetencijos ribose, dokumentų, pagrindžiančių draudžiamąjį įvykį, rengimą draudimo brokerio kompetencijos ribose, žalų apmokėjimo kontrolę ir pan. </w:t>
      </w:r>
      <w:r w:rsidRPr="006442B2">
        <w:rPr>
          <w:rFonts w:ascii="Times New Roman" w:eastAsia="Times New Roman" w:hAnsi="Times New Roman"/>
          <w:b/>
          <w:bCs/>
          <w:color w:val="000000"/>
          <w:spacing w:val="-4"/>
        </w:rPr>
        <w:t>Visi minėti procesai turi būti vykdomi naudojant draudimo brokerio informacinę sistemą, užtikrinant realaus laiko duomenų prieinamumą. Draudžiamieji įvykiai privalo būti registruojami tik brokerio informacinėje sistemoje, iš kurio brokeris turės perkelti reikalingą informaciją į Draudiko informacinę sistemą.</w:t>
      </w:r>
    </w:p>
    <w:p w14:paraId="597D4E4B"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pacing w:val="-3"/>
          <w:szCs w:val="20"/>
        </w:rPr>
      </w:pPr>
      <w:r w:rsidRPr="006442B2">
        <w:rPr>
          <w:rFonts w:ascii="Times New Roman" w:eastAsia="Times New Roman" w:hAnsi="Times New Roman"/>
          <w:color w:val="000000"/>
          <w:spacing w:val="-4"/>
          <w:szCs w:val="20"/>
        </w:rPr>
        <w:t xml:space="preserve">2.2.12.3. </w:t>
      </w:r>
      <w:r w:rsidRPr="006442B2">
        <w:rPr>
          <w:rFonts w:ascii="Times New Roman" w:eastAsia="Times New Roman" w:hAnsi="Times New Roman"/>
          <w:color w:val="000000"/>
          <w:spacing w:val="-3"/>
          <w:szCs w:val="20"/>
        </w:rPr>
        <w:t>atstovavimas ginčuose ir derybose su draudikais, išskyrus atstovavimą teisme ar arbitraže;</w:t>
      </w:r>
    </w:p>
    <w:p w14:paraId="37317D7F"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pacing w:val="-3"/>
          <w:szCs w:val="20"/>
        </w:rPr>
      </w:pPr>
      <w:r w:rsidRPr="006442B2">
        <w:rPr>
          <w:rFonts w:ascii="Times New Roman" w:eastAsia="Times New Roman" w:hAnsi="Times New Roman"/>
          <w:color w:val="000000"/>
          <w:spacing w:val="-3"/>
          <w:szCs w:val="20"/>
        </w:rPr>
        <w:t>2.2.13. visų Perkančiojo subjekto draudimo sutarčių apžvalga, skirta pristatyti įvykusių draudžiamųjų įvykių statistiką, įžvalgas ir pan.;</w:t>
      </w:r>
    </w:p>
    <w:p w14:paraId="00A83A59"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3"/>
          <w:szCs w:val="20"/>
        </w:rPr>
        <w:t xml:space="preserve">2.2.14. </w:t>
      </w:r>
      <w:r w:rsidRPr="006442B2">
        <w:rPr>
          <w:rFonts w:ascii="Times New Roman" w:eastAsia="Times New Roman" w:hAnsi="Times New Roman"/>
          <w:szCs w:val="20"/>
        </w:rPr>
        <w:t>Perkančiojo subjekto konsultavimas visais su draudimais susijusiais klausimais.</w:t>
      </w:r>
    </w:p>
    <w:p w14:paraId="50D30734" w14:textId="77777777" w:rsidR="006442B2" w:rsidRPr="006442B2" w:rsidRDefault="006442B2" w:rsidP="006442B2">
      <w:pPr>
        <w:tabs>
          <w:tab w:val="left" w:pos="709"/>
        </w:tabs>
        <w:autoSpaceDN/>
        <w:spacing w:after="0" w:line="240" w:lineRule="auto"/>
        <w:contextualSpacing/>
        <w:jc w:val="both"/>
        <w:textAlignment w:val="baseline"/>
        <w:rPr>
          <w:rFonts w:ascii="Times New Roman" w:eastAsia="Times New Roman" w:hAnsi="Times New Roman"/>
          <w:color w:val="000000"/>
        </w:rPr>
      </w:pPr>
      <w:r w:rsidRPr="006442B2">
        <w:rPr>
          <w:rFonts w:ascii="Times New Roman" w:eastAsia="Times New Roman" w:hAnsi="Times New Roman"/>
          <w:color w:val="000000"/>
        </w:rPr>
        <w:t xml:space="preserve">2.3. </w:t>
      </w:r>
      <w:r w:rsidRPr="006442B2">
        <w:rPr>
          <w:rFonts w:ascii="Times New Roman" w:eastAsia="Times New Roman" w:hAnsi="Times New Roman"/>
          <w:b/>
          <w:bCs/>
          <w:color w:val="000000"/>
        </w:rPr>
        <w:t>Draudimo brokeris privalo naudoti informacinę sistemą, kuri užtikrintų visapusišką draudžiamųjų įvykių administravimo proceso valdymą.</w:t>
      </w:r>
      <w:r w:rsidRPr="006442B2">
        <w:rPr>
          <w:rFonts w:ascii="Times New Roman" w:eastAsia="Times New Roman" w:hAnsi="Times New Roman"/>
          <w:color w:val="000000"/>
        </w:rPr>
        <w:t xml:space="preserve"> Per šią sistemą turi būti vykdomas ne tik įvykių stebėjimas, bet ir privalomas visų draudžiamųjų įvykių registravimas, įskaitant pirminės informacijos suvedimą, būsenų keitimą, dokumentų pateikimą bei komunikacijos su Brokeriu fiksavimą. Perkantysis subjektas privalo turėti galimybę realiuoju laiku stebėti registruotų įvykių eigą, jų būsenas, susijusius dokumentus, finansinius duomenis (pvz., patvirtintas žalos sumas), komunikacijos istoriją ir kitą aktualią informaciją. Prieiga prie informacinės sistemos turi būti suteikta visiems Perkančiojo subjekto paskirtiems atstovams be papildomų mokesčių, užtikrinant prisijungimą prie sistemos per interneto naršyklę.</w:t>
      </w:r>
    </w:p>
    <w:p w14:paraId="4AC82970"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 Perkantysis subjektas preliminariai vertina, kad atsižvelgiant į savo šiuo metu vykdomą veiklą, yra poreikis įsigyti šias draudimo rūšių paslaugas:</w:t>
      </w:r>
    </w:p>
    <w:p w14:paraId="7BEA80EE"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2.4.1. Transporto priemonių valdytojų civilinės atsakomybės draudimas;</w:t>
      </w:r>
    </w:p>
    <w:p w14:paraId="6E612318"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2.4.2. Transporto priemonių (KASKO) draudimas;</w:t>
      </w:r>
    </w:p>
    <w:p w14:paraId="1F8C3AA5"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2.4.3. Turto ir investicijų draudimas (be transporto priemonių);</w:t>
      </w:r>
    </w:p>
    <w:p w14:paraId="61B28735"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2.4.4. Nekilnojamojo turto draudimas</w:t>
      </w:r>
    </w:p>
    <w:p w14:paraId="18F9F019"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pacing w:val="-2"/>
          <w:szCs w:val="20"/>
        </w:rPr>
      </w:pPr>
      <w:r w:rsidRPr="006442B2">
        <w:rPr>
          <w:rFonts w:ascii="Times New Roman" w:eastAsia="Times New Roman" w:hAnsi="Times New Roman"/>
          <w:color w:val="000000"/>
          <w:szCs w:val="20"/>
        </w:rPr>
        <w:t xml:space="preserve">2.4.5. </w:t>
      </w:r>
      <w:r w:rsidRPr="006442B2">
        <w:rPr>
          <w:rFonts w:ascii="Times New Roman" w:eastAsia="Times New Roman" w:hAnsi="Times New Roman"/>
          <w:color w:val="000000"/>
          <w:spacing w:val="-2"/>
          <w:szCs w:val="20"/>
        </w:rPr>
        <w:t>Bendrosios civilinės atsakomybės už žalą materialiam turtui ir (ar) sveikatai bei gyvybei ir kitus nuostolius draudimas;</w:t>
      </w:r>
    </w:p>
    <w:p w14:paraId="477C9B84"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pacing w:val="-2"/>
          <w:szCs w:val="20"/>
        </w:rPr>
        <w:t xml:space="preserve">2.4.6. </w:t>
      </w:r>
      <w:r w:rsidRPr="006442B2">
        <w:rPr>
          <w:rFonts w:ascii="Times New Roman" w:eastAsia="Times New Roman" w:hAnsi="Times New Roman"/>
          <w:color w:val="000000"/>
          <w:szCs w:val="20"/>
        </w:rPr>
        <w:t>Įmonės vadovų ir vadovaujančių darbuotojų civilinės atsakomybės draudimas;</w:t>
      </w:r>
    </w:p>
    <w:p w14:paraId="1266E5C8"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2.4.7. Darbdavio civilinės atsakomybės draudimas;</w:t>
      </w:r>
    </w:p>
    <w:p w14:paraId="1089E06F"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2.4.8. Darbuotojų draudimas nuo nelaimingų atsitikimų;</w:t>
      </w:r>
    </w:p>
    <w:p w14:paraId="1473AD56"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2.4.9. Savanoriškas darbuotojų sveikatos draudimas;</w:t>
      </w:r>
    </w:p>
    <w:p w14:paraId="34CD79C2"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2.4.10.</w:t>
      </w:r>
      <w:r w:rsidRPr="006442B2">
        <w:rPr>
          <w:rFonts w:ascii="Times New Roman" w:eastAsia="Times New Roman" w:hAnsi="Times New Roman"/>
          <w:sz w:val="24"/>
          <w:szCs w:val="24"/>
          <w:lang w:eastAsia="lt-LT"/>
        </w:rPr>
        <w:t xml:space="preserve"> </w:t>
      </w:r>
      <w:r w:rsidRPr="006442B2">
        <w:rPr>
          <w:rFonts w:ascii="Times New Roman" w:eastAsia="Times New Roman" w:hAnsi="Times New Roman"/>
          <w:color w:val="000000"/>
          <w:szCs w:val="20"/>
        </w:rPr>
        <w:t>Draudėjo atsakomybės, kylančios dėl viešųjų pirkimų, draudimas;</w:t>
      </w:r>
    </w:p>
    <w:p w14:paraId="49C4E630"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2.4.11.</w:t>
      </w:r>
      <w:r w:rsidRPr="006442B2">
        <w:rPr>
          <w:rFonts w:ascii="Times New Roman" w:eastAsia="Times New Roman" w:hAnsi="Times New Roman"/>
          <w:sz w:val="24"/>
          <w:szCs w:val="24"/>
          <w:lang w:eastAsia="lt-LT"/>
        </w:rPr>
        <w:t xml:space="preserve"> </w:t>
      </w:r>
      <w:r w:rsidRPr="006442B2">
        <w:rPr>
          <w:rFonts w:ascii="Times New Roman" w:eastAsia="Times New Roman" w:hAnsi="Times New Roman"/>
          <w:color w:val="000000"/>
          <w:szCs w:val="20"/>
        </w:rPr>
        <w:t>Laivų Kasko draudimas;</w:t>
      </w:r>
    </w:p>
    <w:p w14:paraId="21BF89B2"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Šis draudimo rūšių sąrašas nėra baigtinis. Atsižvelgiant į Paslaugų teikėjo atliktą rizikų vertinimą ir pateiktas išvadas bei siūlymus, jis gali būti mažinamas atsisakant tam tikrų draudimo rūšių, jas praplečiant (siaurinant) arba papildant naujomis draudimo rūšimis.</w:t>
      </w:r>
    </w:p>
    <w:p w14:paraId="4C12255D"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2.5. Preliminari Perkančiojo subjekto perkamų visų draudimo rūšių paslaugų vertė 12 mėnesių laikotarpiu – 3 000 000 Eur. Ji galės būti tikslinama atsižvelgiant į rizikos vertinimo bendrovėje rezultatus.</w:t>
      </w:r>
    </w:p>
    <w:p w14:paraId="6F30475C"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p>
    <w:p w14:paraId="2A2E87D0" w14:textId="77777777" w:rsidR="006442B2" w:rsidRPr="006442B2" w:rsidRDefault="006442B2" w:rsidP="006442B2">
      <w:pPr>
        <w:autoSpaceDN/>
        <w:spacing w:after="0" w:line="240" w:lineRule="auto"/>
        <w:contextualSpacing/>
        <w:jc w:val="center"/>
        <w:textAlignment w:val="baseline"/>
        <w:rPr>
          <w:rFonts w:ascii="Times New Roman" w:eastAsia="Times New Roman" w:hAnsi="Times New Roman"/>
          <w:b/>
          <w:color w:val="000000"/>
        </w:rPr>
      </w:pPr>
      <w:r w:rsidRPr="006442B2">
        <w:rPr>
          <w:rFonts w:ascii="Times New Roman" w:eastAsia="Times New Roman" w:hAnsi="Times New Roman"/>
          <w:b/>
        </w:rPr>
        <w:t>3. SUTARTINIŲ ĮSIPAREIGOJIMŲ VYKDYMO TVARKA IR TERMINAI</w:t>
      </w:r>
    </w:p>
    <w:p w14:paraId="561D05E9" w14:textId="77777777" w:rsidR="006442B2" w:rsidRPr="006442B2" w:rsidRDefault="006442B2" w:rsidP="006442B2">
      <w:pPr>
        <w:autoSpaceDN/>
        <w:spacing w:after="0" w:line="240" w:lineRule="auto"/>
        <w:contextualSpacing/>
        <w:jc w:val="both"/>
        <w:textAlignment w:val="baseline"/>
        <w:rPr>
          <w:rFonts w:ascii="Arial" w:eastAsia="Times New Roman" w:hAnsi="Arial"/>
          <w:color w:val="000000"/>
          <w:sz w:val="20"/>
          <w:szCs w:val="20"/>
        </w:rPr>
      </w:pPr>
    </w:p>
    <w:p w14:paraId="3278A332"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3.1. Paslaugų teikėjas privalo Paslaugas teikti šiais terminais (</w:t>
      </w:r>
      <w:r w:rsidRPr="006442B2">
        <w:rPr>
          <w:rFonts w:ascii="Times New Roman" w:eastAsia="Times New Roman" w:hAnsi="Times New Roman"/>
          <w:bCs/>
          <w:szCs w:val="20"/>
        </w:rPr>
        <w:t>esant poreikiui, šalys gali susitarti dėl kitokių Paslaugos/Perkančiojo subjekto užklausų vykdymo terminų)</w:t>
      </w:r>
      <w:r w:rsidRPr="006442B2">
        <w:rPr>
          <w:rFonts w:ascii="Times New Roman" w:eastAsia="Times New Roman" w:hAnsi="Times New Roman"/>
          <w:color w:val="000000"/>
          <w:szCs w:val="20"/>
        </w:rPr>
        <w:t>:</w:t>
      </w:r>
    </w:p>
    <w:p w14:paraId="68125C20" w14:textId="44923E9D"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3.1.</w:t>
      </w:r>
      <w:r w:rsidR="00EF40B2">
        <w:rPr>
          <w:rFonts w:ascii="Times New Roman" w:eastAsia="Times New Roman" w:hAnsi="Times New Roman"/>
          <w:color w:val="000000"/>
          <w:szCs w:val="20"/>
        </w:rPr>
        <w:t>1</w:t>
      </w:r>
      <w:r w:rsidRPr="006442B2">
        <w:rPr>
          <w:rFonts w:ascii="Times New Roman" w:eastAsia="Times New Roman" w:hAnsi="Times New Roman"/>
          <w:color w:val="000000"/>
          <w:szCs w:val="20"/>
        </w:rPr>
        <w:t>. pirkimo sąlygų techninių specifikacijų konkrečių rūšių draudimo sutartims sudaryti pateikimas – likus ne mažiau kaip 20 darbo dienų iki planuojamo tos rūšies draudimo pirkimo pradžios;</w:t>
      </w:r>
    </w:p>
    <w:p w14:paraId="23653176" w14:textId="3978E201"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3.1.</w:t>
      </w:r>
      <w:r w:rsidR="00EF40B2">
        <w:rPr>
          <w:rFonts w:ascii="Times New Roman" w:eastAsia="Times New Roman" w:hAnsi="Times New Roman"/>
          <w:color w:val="000000"/>
          <w:szCs w:val="20"/>
        </w:rPr>
        <w:t>2</w:t>
      </w:r>
      <w:r w:rsidRPr="006442B2">
        <w:rPr>
          <w:rFonts w:ascii="Times New Roman" w:eastAsia="Times New Roman" w:hAnsi="Times New Roman"/>
          <w:color w:val="000000"/>
          <w:szCs w:val="20"/>
        </w:rPr>
        <w:t xml:space="preserve">. konsultacijos teikiamos pagal poreikį – ne vėliau kaip per 3 darbo dienas nuo </w:t>
      </w:r>
      <w:r w:rsidRPr="006442B2">
        <w:rPr>
          <w:rFonts w:ascii="Times New Roman" w:eastAsia="Times New Roman" w:hAnsi="Times New Roman"/>
          <w:bCs/>
          <w:szCs w:val="20"/>
        </w:rPr>
        <w:t>Perkančiojo subjekto</w:t>
      </w:r>
      <w:r w:rsidRPr="006442B2">
        <w:rPr>
          <w:rFonts w:ascii="Times New Roman" w:eastAsia="Times New Roman" w:hAnsi="Times New Roman"/>
          <w:color w:val="000000"/>
          <w:szCs w:val="20"/>
        </w:rPr>
        <w:t xml:space="preserve"> užsakymo pateikimo dienos arba per kitą šalių sutartą terminą;</w:t>
      </w:r>
    </w:p>
    <w:p w14:paraId="7C273CAD" w14:textId="6D831973"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3.1.</w:t>
      </w:r>
      <w:r w:rsidR="00EF40B2">
        <w:rPr>
          <w:rFonts w:ascii="Times New Roman" w:eastAsia="Times New Roman" w:hAnsi="Times New Roman"/>
          <w:color w:val="000000"/>
          <w:szCs w:val="20"/>
        </w:rPr>
        <w:t>3</w:t>
      </w:r>
      <w:r w:rsidRPr="006442B2">
        <w:rPr>
          <w:rFonts w:ascii="Times New Roman" w:eastAsia="Times New Roman" w:hAnsi="Times New Roman"/>
          <w:color w:val="000000"/>
          <w:szCs w:val="20"/>
        </w:rPr>
        <w:t xml:space="preserve">. Perkančiojo subjekto draudimo sutarčių apžvalga (2.2.13 punkte nurodytos paslaugos) vykdoma 1 kartą per mėnesį arba kitu šalių sutartu grafiku. </w:t>
      </w:r>
      <w:r w:rsidRPr="006442B2">
        <w:rPr>
          <w:rFonts w:ascii="Times New Roman" w:eastAsia="Times New Roman" w:hAnsi="Times New Roman"/>
          <w:color w:val="000000"/>
          <w:spacing w:val="-3"/>
          <w:szCs w:val="20"/>
        </w:rPr>
        <w:t>Apžvalga Perkančiajam subjektui turės būti pristatoma gyvai ar nuotoliniu būdu.</w:t>
      </w:r>
      <w:r w:rsidRPr="006442B2">
        <w:rPr>
          <w:rFonts w:ascii="Times New Roman" w:eastAsia="Times New Roman" w:hAnsi="Times New Roman"/>
          <w:color w:val="000000"/>
          <w:szCs w:val="20"/>
        </w:rPr>
        <w:t xml:space="preserve"> </w:t>
      </w:r>
    </w:p>
    <w:p w14:paraId="084FBDA0" w14:textId="77777777" w:rsidR="006442B2" w:rsidRPr="006442B2" w:rsidRDefault="006442B2" w:rsidP="006442B2">
      <w:pPr>
        <w:autoSpaceDN/>
        <w:spacing w:after="0" w:line="240" w:lineRule="auto"/>
        <w:contextualSpacing/>
        <w:jc w:val="both"/>
        <w:textAlignment w:val="baseline"/>
        <w:rPr>
          <w:rFonts w:ascii="Times New Roman" w:eastAsia="Times New Roman" w:hAnsi="Times New Roman"/>
          <w:color w:val="000000"/>
          <w:szCs w:val="20"/>
        </w:rPr>
      </w:pPr>
      <w:r w:rsidRPr="006442B2">
        <w:rPr>
          <w:rFonts w:ascii="Times New Roman" w:eastAsia="Times New Roman" w:hAnsi="Times New Roman"/>
          <w:color w:val="000000"/>
          <w:szCs w:val="20"/>
        </w:rPr>
        <w:t>3.2. Paslaugų teikėjas turi teikti Paslaugas profesionaliai ir kokybiškai, vadovaudamasis įprastai tokio tipo paslaugoms keliamais aukščiausiais profesionalumo reikalavimais.</w:t>
      </w:r>
    </w:p>
    <w:p w14:paraId="5085AC69" w14:textId="3DEC1E92" w:rsidR="006442B2" w:rsidRPr="006442B2" w:rsidRDefault="006442B2" w:rsidP="006442B2">
      <w:pPr>
        <w:autoSpaceDN/>
        <w:spacing w:after="0" w:line="240" w:lineRule="auto"/>
        <w:contextualSpacing/>
        <w:jc w:val="both"/>
        <w:textAlignment w:val="baseline"/>
        <w:rPr>
          <w:rFonts w:ascii="Arial" w:eastAsia="Times New Roman" w:hAnsi="Arial"/>
          <w:color w:val="000000"/>
          <w:sz w:val="20"/>
          <w:szCs w:val="20"/>
        </w:rPr>
      </w:pPr>
      <w:r w:rsidRPr="006442B2">
        <w:rPr>
          <w:rFonts w:ascii="Times New Roman" w:eastAsia="Times New Roman" w:hAnsi="Times New Roman"/>
          <w:color w:val="000000"/>
          <w:szCs w:val="20"/>
        </w:rPr>
        <w:t>3.</w:t>
      </w:r>
      <w:r w:rsidR="00971732">
        <w:rPr>
          <w:rFonts w:ascii="Times New Roman" w:eastAsia="Times New Roman" w:hAnsi="Times New Roman"/>
          <w:color w:val="000000"/>
          <w:szCs w:val="20"/>
        </w:rPr>
        <w:t>3</w:t>
      </w:r>
      <w:r w:rsidRPr="006442B2">
        <w:rPr>
          <w:rFonts w:ascii="Times New Roman" w:eastAsia="Times New Roman" w:hAnsi="Times New Roman"/>
          <w:color w:val="000000"/>
          <w:szCs w:val="20"/>
        </w:rPr>
        <w:t>. Perkantysis subjektas įsipareigoja pateikti reikiamą informaciją ar dokumentus, susijusius su žalų administravimu ne vėliau kaip per 5 darbo dienas nuo raštiško Paslaugų teikėjo kreipimosi Sutartyje nurodytu el. paštu arba per kitą šalių sutartą terminą.</w:t>
      </w:r>
    </w:p>
    <w:p w14:paraId="33341D60" w14:textId="77777777" w:rsidR="006442B2" w:rsidRPr="006442B2" w:rsidRDefault="006442B2" w:rsidP="006442B2">
      <w:pPr>
        <w:tabs>
          <w:tab w:val="left" w:pos="426"/>
          <w:tab w:val="left" w:pos="567"/>
          <w:tab w:val="left" w:pos="993"/>
        </w:tabs>
        <w:autoSpaceDE w:val="0"/>
        <w:adjustRightInd w:val="0"/>
        <w:spacing w:after="0" w:line="240" w:lineRule="auto"/>
        <w:contextualSpacing/>
        <w:jc w:val="both"/>
        <w:rPr>
          <w:rFonts w:ascii="Times New Roman" w:hAnsi="Times New Roman"/>
          <w:color w:val="000000"/>
          <w:lang w:eastAsia="lt-LT"/>
        </w:rPr>
      </w:pPr>
    </w:p>
    <w:p w14:paraId="7157AE8F" w14:textId="77777777" w:rsidR="006442B2" w:rsidRPr="006442B2" w:rsidRDefault="006442B2" w:rsidP="006442B2">
      <w:pPr>
        <w:tabs>
          <w:tab w:val="left" w:pos="426"/>
          <w:tab w:val="left" w:pos="567"/>
          <w:tab w:val="left" w:pos="993"/>
        </w:tabs>
        <w:autoSpaceDE w:val="0"/>
        <w:adjustRightInd w:val="0"/>
        <w:spacing w:after="0" w:line="240" w:lineRule="auto"/>
        <w:contextualSpacing/>
        <w:jc w:val="center"/>
        <w:rPr>
          <w:rFonts w:ascii="Times New Roman" w:eastAsia="Times New Roman" w:hAnsi="Times New Roman"/>
          <w:b/>
          <w:lang w:eastAsia="lt-LT"/>
        </w:rPr>
      </w:pPr>
      <w:r w:rsidRPr="006442B2">
        <w:rPr>
          <w:rFonts w:ascii="Times New Roman" w:eastAsia="Times New Roman" w:hAnsi="Times New Roman"/>
          <w:b/>
          <w:lang w:eastAsia="lt-LT"/>
        </w:rPr>
        <w:t>4. SUTARTINIŲ ĮSIPAREIGOJIMŲ VYKDYMO VIETA</w:t>
      </w:r>
    </w:p>
    <w:p w14:paraId="4BD0971D" w14:textId="77777777" w:rsidR="006442B2" w:rsidRPr="006442B2" w:rsidRDefault="006442B2" w:rsidP="006442B2">
      <w:pPr>
        <w:tabs>
          <w:tab w:val="left" w:pos="426"/>
          <w:tab w:val="left" w:pos="567"/>
          <w:tab w:val="left" w:pos="993"/>
        </w:tabs>
        <w:autoSpaceDE w:val="0"/>
        <w:adjustRightInd w:val="0"/>
        <w:spacing w:after="0" w:line="240" w:lineRule="auto"/>
        <w:contextualSpacing/>
        <w:jc w:val="center"/>
        <w:rPr>
          <w:rFonts w:ascii="Times New Roman" w:hAnsi="Times New Roman"/>
          <w:color w:val="000000"/>
          <w:lang w:eastAsia="lt-LT"/>
        </w:rPr>
      </w:pPr>
    </w:p>
    <w:p w14:paraId="1C42146C" w14:textId="77777777" w:rsidR="006442B2" w:rsidRPr="006442B2" w:rsidRDefault="006442B2" w:rsidP="006442B2">
      <w:pPr>
        <w:tabs>
          <w:tab w:val="left" w:pos="284"/>
          <w:tab w:val="left" w:pos="567"/>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lastRenderedPageBreak/>
        <w:t>4.1. Paslaugų teikimo vieta – Paslaugos teikiamos Paslaugų teikėjo įprastoje verslo vietoje, išskyrus atvejus, kai Perkančiojo subjekto pageidavimu Paslaugų teikėjo atstovų asmeninis dalyvavimas yra reikalingas kitoje Perkančiojo subjekto nurodytoje vietoje (atstovaujant derybose ir (ar) santykiuose su trečiaisiais asmenimis) Lietuvos ar užsienio valstybėje.</w:t>
      </w:r>
    </w:p>
    <w:p w14:paraId="2E162164" w14:textId="77777777" w:rsidR="006442B2" w:rsidRPr="006442B2" w:rsidRDefault="006442B2" w:rsidP="006442B2">
      <w:pPr>
        <w:tabs>
          <w:tab w:val="left" w:pos="0"/>
          <w:tab w:val="left" w:pos="567"/>
          <w:tab w:val="left" w:pos="993"/>
        </w:tabs>
        <w:autoSpaceDE w:val="0"/>
        <w:adjustRightInd w:val="0"/>
        <w:spacing w:after="0" w:line="240" w:lineRule="auto"/>
        <w:contextualSpacing/>
        <w:jc w:val="both"/>
        <w:rPr>
          <w:rFonts w:ascii="Times New Roman" w:hAnsi="Times New Roman"/>
          <w:color w:val="000000"/>
          <w:lang w:eastAsia="lt-LT"/>
        </w:rPr>
      </w:pPr>
    </w:p>
    <w:p w14:paraId="220BCEF9" w14:textId="77777777" w:rsidR="006442B2" w:rsidRPr="006442B2" w:rsidRDefault="006442B2" w:rsidP="006442B2">
      <w:pPr>
        <w:tabs>
          <w:tab w:val="left" w:pos="0"/>
          <w:tab w:val="left" w:pos="567"/>
          <w:tab w:val="left" w:pos="993"/>
        </w:tabs>
        <w:autoSpaceDE w:val="0"/>
        <w:adjustRightInd w:val="0"/>
        <w:spacing w:after="0" w:line="240" w:lineRule="auto"/>
        <w:contextualSpacing/>
        <w:jc w:val="center"/>
        <w:rPr>
          <w:rFonts w:ascii="Times New Roman" w:hAnsi="Times New Roman"/>
          <w:color w:val="000000"/>
          <w:lang w:eastAsia="lt-LT"/>
        </w:rPr>
      </w:pPr>
      <w:r w:rsidRPr="006442B2">
        <w:rPr>
          <w:rFonts w:ascii="Times New Roman" w:eastAsia="Times New Roman" w:hAnsi="Times New Roman"/>
          <w:b/>
          <w:lang w:eastAsia="lt-LT"/>
        </w:rPr>
        <w:t>5. PASLAUGŲ APMOKĖJIMAS</w:t>
      </w:r>
    </w:p>
    <w:p w14:paraId="3A0FF189" w14:textId="77777777" w:rsidR="006442B2" w:rsidRPr="006442B2" w:rsidRDefault="006442B2" w:rsidP="006442B2">
      <w:pPr>
        <w:tabs>
          <w:tab w:val="left" w:pos="0"/>
          <w:tab w:val="left" w:pos="567"/>
          <w:tab w:val="left" w:pos="993"/>
        </w:tabs>
        <w:autoSpaceDE w:val="0"/>
        <w:adjustRightInd w:val="0"/>
        <w:spacing w:after="0" w:line="240" w:lineRule="auto"/>
        <w:contextualSpacing/>
        <w:rPr>
          <w:rFonts w:ascii="Times New Roman" w:hAnsi="Times New Roman"/>
          <w:color w:val="000000"/>
          <w:lang w:eastAsia="lt-LT"/>
        </w:rPr>
      </w:pPr>
    </w:p>
    <w:p w14:paraId="10B1EEC3" w14:textId="77777777" w:rsidR="006442B2" w:rsidRPr="006442B2" w:rsidRDefault="006442B2" w:rsidP="006442B2">
      <w:pPr>
        <w:tabs>
          <w:tab w:val="left" w:pos="0"/>
          <w:tab w:val="left" w:pos="567"/>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color w:val="000000"/>
          <w:lang w:eastAsia="lt-LT"/>
        </w:rPr>
        <w:t xml:space="preserve">5.1. Paslaugos teikėjui Perkantysis subjektas už teikiamas Paslaugas nemoka. </w:t>
      </w:r>
    </w:p>
    <w:p w14:paraId="15216817" w14:textId="77777777" w:rsidR="006442B2" w:rsidRPr="006442B2" w:rsidRDefault="006442B2" w:rsidP="006442B2">
      <w:pPr>
        <w:tabs>
          <w:tab w:val="left" w:pos="0"/>
          <w:tab w:val="left" w:pos="567"/>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color w:val="000000"/>
          <w:spacing w:val="-2"/>
          <w:lang w:eastAsia="lt-LT"/>
        </w:rPr>
        <w:t xml:space="preserve">5.2. Perkantysis subjektas </w:t>
      </w:r>
      <w:r w:rsidRPr="006442B2">
        <w:rPr>
          <w:rFonts w:ascii="Times New Roman" w:eastAsia="Times New Roman" w:hAnsi="Times New Roman"/>
          <w:color w:val="000000"/>
          <w:lang w:eastAsia="lt-LT"/>
        </w:rPr>
        <w:t xml:space="preserve">identifikuos Paslaugų teikėją kaip draudimo tarpininką Perkančiojo subjekto visų rūšių draudimo paslaugų pirkimų dokumentuose, į juos įtraukiant tokią nuostatą, kad: „Paslaugos yra perkamos ir Sutartis bus sudaroma tarpininkaujant draudimo brokeriui </w:t>
      </w:r>
      <w:r w:rsidRPr="006442B2">
        <w:rPr>
          <w:rFonts w:ascii="Times New Roman" w:eastAsia="Times New Roman" w:hAnsi="Times New Roman"/>
          <w:color w:val="000000"/>
          <w:highlight w:val="lightGray"/>
          <w:lang w:eastAsia="lt-LT"/>
        </w:rPr>
        <w:t>____________ (nurodomas Teikėjo pavadinimas)</w:t>
      </w:r>
      <w:r w:rsidRPr="006442B2">
        <w:rPr>
          <w:rFonts w:ascii="Times New Roman" w:eastAsia="Times New Roman" w:hAnsi="Times New Roman"/>
          <w:color w:val="000000"/>
          <w:lang w:eastAsia="lt-LT"/>
        </w:rPr>
        <w:t xml:space="preserve"> (toliau – Draudimo brokeris). Draudimo brokeris tarpininkaus sudarant Sutartį bei ją administruojant. Perkantysis subjektas interesų konflikto nenustatė. Perkantysis subjektas atlygio Draudimo brokeriui nemoka, tačiau nustato, jog pareiga atsiskaityti su Draudimo brokeriu tenka teikėjui, kurio pasiūlymas nustatytas laimėjusiu (t. y. į teikiamo pasiūlymo kainą turi būti įtrauktas ir </w:t>
      </w:r>
      <w:r w:rsidRPr="006442B2">
        <w:rPr>
          <w:rFonts w:ascii="Times New Roman" w:eastAsia="Times New Roman" w:hAnsi="Times New Roman"/>
          <w:color w:val="000000"/>
          <w:highlight w:val="lightGray"/>
          <w:lang w:eastAsia="lt-LT"/>
        </w:rPr>
        <w:t>__ proc. (nurodoma pagal Teikėjo pasiūlymą)</w:t>
      </w:r>
      <w:r w:rsidRPr="006442B2">
        <w:rPr>
          <w:rFonts w:ascii="Times New Roman" w:eastAsia="Times New Roman" w:hAnsi="Times New Roman"/>
          <w:color w:val="000000"/>
          <w:lang w:eastAsia="lt-LT"/>
        </w:rPr>
        <w:t xml:space="preserve"> (nuo mokamos draudimo įmokos) dydžio komisinis atlygis Draudimo brokeriui)“.</w:t>
      </w:r>
    </w:p>
    <w:p w14:paraId="3DA2E524" w14:textId="77777777" w:rsidR="006442B2" w:rsidRPr="006442B2" w:rsidRDefault="006442B2" w:rsidP="006442B2">
      <w:pPr>
        <w:tabs>
          <w:tab w:val="left" w:pos="0"/>
          <w:tab w:val="left" w:pos="567"/>
          <w:tab w:val="left" w:pos="993"/>
        </w:tabs>
        <w:autoSpaceDE w:val="0"/>
        <w:adjustRightInd w:val="0"/>
        <w:spacing w:after="0" w:line="240" w:lineRule="auto"/>
        <w:contextualSpacing/>
        <w:jc w:val="both"/>
        <w:rPr>
          <w:rFonts w:ascii="Times New Roman" w:hAnsi="Times New Roman"/>
          <w:color w:val="000000"/>
          <w:lang w:eastAsia="lt-LT"/>
        </w:rPr>
      </w:pPr>
    </w:p>
    <w:p w14:paraId="2D3D650E" w14:textId="77777777" w:rsidR="006442B2" w:rsidRPr="006442B2" w:rsidRDefault="006442B2" w:rsidP="006442B2">
      <w:pPr>
        <w:tabs>
          <w:tab w:val="left" w:pos="0"/>
          <w:tab w:val="left" w:pos="567"/>
          <w:tab w:val="left" w:pos="993"/>
        </w:tabs>
        <w:autoSpaceDE w:val="0"/>
        <w:adjustRightInd w:val="0"/>
        <w:spacing w:after="0" w:line="240" w:lineRule="auto"/>
        <w:contextualSpacing/>
        <w:jc w:val="center"/>
        <w:rPr>
          <w:rFonts w:ascii="Times New Roman" w:hAnsi="Times New Roman"/>
          <w:b/>
          <w:color w:val="000000"/>
          <w:lang w:eastAsia="lt-LT"/>
        </w:rPr>
      </w:pPr>
      <w:r w:rsidRPr="006442B2">
        <w:rPr>
          <w:rFonts w:ascii="Times New Roman" w:eastAsia="Times New Roman" w:hAnsi="Times New Roman"/>
          <w:b/>
          <w:lang w:eastAsia="lt-LT"/>
        </w:rPr>
        <w:t>6. KOKYBĖ IR TRŪKUMŲ ŠALINIMAS</w:t>
      </w:r>
    </w:p>
    <w:p w14:paraId="275A8ECC" w14:textId="77777777" w:rsidR="006442B2" w:rsidRPr="006442B2" w:rsidRDefault="006442B2" w:rsidP="006442B2">
      <w:pPr>
        <w:tabs>
          <w:tab w:val="left" w:pos="0"/>
          <w:tab w:val="left" w:pos="567"/>
          <w:tab w:val="left" w:pos="993"/>
        </w:tabs>
        <w:autoSpaceDE w:val="0"/>
        <w:adjustRightInd w:val="0"/>
        <w:spacing w:after="0" w:line="240" w:lineRule="auto"/>
        <w:contextualSpacing/>
        <w:rPr>
          <w:rFonts w:ascii="Arial" w:hAnsi="Arial"/>
          <w:color w:val="000000"/>
          <w:lang w:eastAsia="lt-LT"/>
        </w:rPr>
      </w:pPr>
    </w:p>
    <w:p w14:paraId="5824F13D" w14:textId="77777777" w:rsidR="006442B2" w:rsidRPr="006442B2" w:rsidRDefault="006442B2" w:rsidP="006442B2">
      <w:pPr>
        <w:tabs>
          <w:tab w:val="left" w:pos="0"/>
          <w:tab w:val="left" w:pos="426"/>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t>6.1. Paslaugų teikėjas įsipareigoja profesionaliai ir kokybiškai teikti Paslaugas šioje techninėje specifikacijoje ir Sutartyje nustatyta tvarka, tinkamai atstovauti Perkančiojo subjekto interesams.</w:t>
      </w:r>
    </w:p>
    <w:p w14:paraId="1C4795CB" w14:textId="77777777" w:rsidR="006442B2" w:rsidRPr="006442B2" w:rsidRDefault="006442B2" w:rsidP="006442B2">
      <w:pPr>
        <w:tabs>
          <w:tab w:val="left" w:pos="0"/>
          <w:tab w:val="left" w:pos="426"/>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t>6.2. Sutarties galiojimo laikotarpiu Paslaugų teikėjas privalo nepertraukiamai turėti galiojančią licenciją draudimo brokerių įmonės veiklai vykdyti.</w:t>
      </w:r>
    </w:p>
    <w:p w14:paraId="014A3E0E" w14:textId="77777777" w:rsidR="006442B2" w:rsidRPr="006442B2" w:rsidRDefault="006442B2" w:rsidP="006442B2">
      <w:pPr>
        <w:tabs>
          <w:tab w:val="left" w:pos="0"/>
          <w:tab w:val="left" w:pos="426"/>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t>6.3. Sutarties galiojimo metu nustačius Paslaugų teikimo trūkumus ar galimas klaidas (netinkami siūlymai ir/ar patarimai draudimo sutarčių techninių specifikacijų ar pirkimo sąlygų rengime, klaidos vertinant pirkimo teikėjų kvalifikaciją ar pasiūlymų / sutarčių atitikimą reikalavimams, klaidos administruojant draudimo sutartis, klaidos dalyvaujant žalų administravimo procese ir pan.), priklausomai nuo trūkumų pobūdžio ir jų pastebėjimo laiko (etapo), galimi įvairūs trūkumų pašalinimo terminai. Klaidos pašalinimo terminus šalys nustato kiekvienai situacijai individualiai, tačiau terminas negali būti ilgesnis nei 5 darbo dienos nuo trūkumo nustatymo momento.</w:t>
      </w:r>
    </w:p>
    <w:p w14:paraId="183B4022" w14:textId="77777777" w:rsidR="006442B2" w:rsidRPr="006442B2" w:rsidRDefault="006442B2" w:rsidP="006442B2">
      <w:pPr>
        <w:tabs>
          <w:tab w:val="left" w:pos="0"/>
          <w:tab w:val="left" w:pos="426"/>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t>6.4. Paslaugų teikėjas privalo atsižvelgti į Sutarties vykdymo metu Perkančiojo subjekto pateiktas pagrįstas pastabas, papildomą informaciją, jei jos bus teikiamos.</w:t>
      </w:r>
    </w:p>
    <w:p w14:paraId="34180FCD" w14:textId="77777777" w:rsidR="006442B2" w:rsidRPr="006442B2" w:rsidRDefault="006442B2" w:rsidP="006442B2">
      <w:pPr>
        <w:tabs>
          <w:tab w:val="left" w:pos="0"/>
          <w:tab w:val="left" w:pos="426"/>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t>6.5. Paslaugų teikėjas privalo apsaugoti Perkantįjį subjektą nuo bet kokių pretenzijų, nuostolių, atsirandančių dėl Paslaugų teikėjo veiksmų ar aplaidumo vykdant Sutartį.</w:t>
      </w:r>
    </w:p>
    <w:p w14:paraId="1A22FA56" w14:textId="77777777" w:rsidR="006442B2" w:rsidRPr="006442B2" w:rsidRDefault="006442B2" w:rsidP="006442B2">
      <w:pPr>
        <w:tabs>
          <w:tab w:val="left" w:pos="426"/>
          <w:tab w:val="left" w:pos="993"/>
        </w:tabs>
        <w:autoSpaceDE w:val="0"/>
        <w:adjustRightInd w:val="0"/>
        <w:spacing w:after="0" w:line="240" w:lineRule="auto"/>
        <w:contextualSpacing/>
        <w:jc w:val="both"/>
        <w:rPr>
          <w:rFonts w:ascii="Times New Roman" w:hAnsi="Times New Roman"/>
          <w:color w:val="000000"/>
          <w:lang w:eastAsia="lt-LT"/>
        </w:rPr>
      </w:pPr>
      <w:r w:rsidRPr="006442B2">
        <w:rPr>
          <w:rFonts w:ascii="Times New Roman" w:eastAsia="Times New Roman" w:hAnsi="Times New Roman"/>
          <w:lang w:eastAsia="lt-LT"/>
        </w:rPr>
        <w:t xml:space="preserve">6.6. Paslaugų teikėjas privalo tinkamai vykdyti įsipareigojimus vadovaujantis konfidencialumo susitarimu bei </w:t>
      </w:r>
      <w:r w:rsidRPr="006442B2">
        <w:rPr>
          <w:rFonts w:ascii="Times New Roman" w:eastAsia="Times New Roman" w:hAnsi="Times New Roman"/>
          <w:color w:val="000000"/>
        </w:rPr>
        <w:t xml:space="preserve"> 2016 m. balandžio 27 d. Europos Parlamento ir Tarybos reglamentu (ES) 2016/679 dėl fizinių asmenų apsaugos tvarkant asmens duomenis ir dėl laisvo tokių duomenų judėjimo (Bendrasis duomenų apsaugos reglamentas) (toliau – BDAR)</w:t>
      </w:r>
      <w:r w:rsidRPr="006442B2">
        <w:rPr>
          <w:rFonts w:ascii="Times New Roman" w:eastAsia="Times New Roman" w:hAnsi="Times New Roman"/>
          <w:lang w:eastAsia="lt-LT"/>
        </w:rPr>
        <w:t>.</w:t>
      </w:r>
    </w:p>
    <w:p w14:paraId="4AEA82AE" w14:textId="77777777" w:rsidR="006442B2" w:rsidRPr="006442B2" w:rsidRDefault="006442B2" w:rsidP="006442B2">
      <w:pPr>
        <w:autoSpaceDN/>
        <w:spacing w:after="0" w:line="240" w:lineRule="auto"/>
        <w:jc w:val="both"/>
        <w:rPr>
          <w:rFonts w:ascii="Times New Roman" w:eastAsia="Times New Roman" w:hAnsi="Times New Roman"/>
        </w:rPr>
      </w:pPr>
      <w:r w:rsidRPr="006442B2">
        <w:rPr>
          <w:rFonts w:ascii="Times New Roman" w:eastAsia="Times New Roman" w:hAnsi="Times New Roman"/>
          <w:lang w:eastAsia="lt-LT"/>
        </w:rPr>
        <w:t>6.7. Paslaugų teikėjas bus atsakingas už pirkimo sąlygų techninės specifikacijos paruošimą pagal viešųjų pirkimų teisės aktų reikalavimus, o taip pat, kad pirkimo sąlygos užtikrintų konkurenciją ir nediskriminuotų teikėjų. Paslaugų teikėjas privalo dėti visas pastangas, kad paskelbtas draudimo pirkimas įvyktų.</w:t>
      </w:r>
    </w:p>
    <w:p w14:paraId="21A42FB5" w14:textId="77777777" w:rsidR="006442B2" w:rsidRPr="006442B2" w:rsidRDefault="006442B2" w:rsidP="006442B2">
      <w:pPr>
        <w:widowControl w:val="0"/>
        <w:autoSpaceDN/>
        <w:spacing w:after="0" w:line="240" w:lineRule="auto"/>
        <w:jc w:val="both"/>
        <w:rPr>
          <w:rFonts w:ascii="Times New Roman" w:eastAsia="Times New Roman" w:hAnsi="Times New Roman"/>
          <w:lang w:eastAsia="lt-LT"/>
        </w:rPr>
      </w:pPr>
    </w:p>
    <w:p w14:paraId="32C6F07F" w14:textId="77777777" w:rsidR="006442B2" w:rsidRPr="006442B2" w:rsidRDefault="006442B2" w:rsidP="006442B2">
      <w:pPr>
        <w:widowControl w:val="0"/>
        <w:autoSpaceDN/>
        <w:spacing w:after="0" w:line="240" w:lineRule="auto"/>
        <w:jc w:val="both"/>
        <w:rPr>
          <w:rFonts w:ascii="Times New Roman" w:eastAsia="Times New Roman" w:hAnsi="Times New Roman"/>
          <w:lang w:eastAsia="lt-LT"/>
        </w:rPr>
      </w:pPr>
    </w:p>
    <w:p w14:paraId="4C0B8D78" w14:textId="77777777" w:rsidR="00D01CC4" w:rsidRDefault="00D01CC4" w:rsidP="00242D30">
      <w:pPr>
        <w:pStyle w:val="prastasis1"/>
        <w:jc w:val="center"/>
        <w:rPr>
          <w:b/>
          <w:sz w:val="22"/>
          <w:szCs w:val="22"/>
        </w:rPr>
      </w:pPr>
    </w:p>
    <w:sectPr w:rsidR="00D01CC4" w:rsidSect="006442B2">
      <w:headerReference w:type="even" r:id="rId12"/>
      <w:headerReference w:type="default" r:id="rId13"/>
      <w:footerReference w:type="even" r:id="rId14"/>
      <w:footerReference w:type="default" r:id="rId15"/>
      <w:headerReference w:type="first" r:id="rId16"/>
      <w:footerReference w:type="first" r:id="rId17"/>
      <w:pgSz w:w="11906" w:h="16838"/>
      <w:pgMar w:top="993" w:right="70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24187" w14:textId="77777777" w:rsidR="00284F9E" w:rsidRDefault="00284F9E" w:rsidP="00C914FF">
      <w:pPr>
        <w:spacing w:after="0" w:line="240" w:lineRule="auto"/>
      </w:pPr>
      <w:r>
        <w:separator/>
      </w:r>
    </w:p>
  </w:endnote>
  <w:endnote w:type="continuationSeparator" w:id="0">
    <w:p w14:paraId="4801F56B" w14:textId="77777777" w:rsidR="00284F9E" w:rsidRDefault="00284F9E" w:rsidP="00C914FF">
      <w:pPr>
        <w:spacing w:after="0" w:line="240" w:lineRule="auto"/>
      </w:pPr>
      <w:r>
        <w:continuationSeparator/>
      </w:r>
    </w:p>
  </w:endnote>
  <w:endnote w:type="continuationNotice" w:id="1">
    <w:p w14:paraId="04D60C35" w14:textId="77777777" w:rsidR="00284F9E" w:rsidRDefault="00284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DCC5B" w14:textId="77777777" w:rsidR="00936453" w:rsidRDefault="00936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80E29" w14:textId="77777777" w:rsidR="00936453" w:rsidRDefault="00936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5474A" w14:textId="77777777" w:rsidR="00936453" w:rsidRDefault="00936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2FA11" w14:textId="77777777" w:rsidR="00284F9E" w:rsidRDefault="00284F9E" w:rsidP="00C914FF">
      <w:pPr>
        <w:spacing w:after="0" w:line="240" w:lineRule="auto"/>
      </w:pPr>
      <w:r>
        <w:separator/>
      </w:r>
    </w:p>
  </w:footnote>
  <w:footnote w:type="continuationSeparator" w:id="0">
    <w:p w14:paraId="069C6AF6" w14:textId="77777777" w:rsidR="00284F9E" w:rsidRDefault="00284F9E" w:rsidP="00C914FF">
      <w:pPr>
        <w:spacing w:after="0" w:line="240" w:lineRule="auto"/>
      </w:pPr>
      <w:r>
        <w:continuationSeparator/>
      </w:r>
    </w:p>
  </w:footnote>
  <w:footnote w:type="continuationNotice" w:id="1">
    <w:p w14:paraId="190CF53B" w14:textId="77777777" w:rsidR="00284F9E" w:rsidRDefault="00284F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A2B4AC" w14:textId="768D401A" w:rsidR="00936453" w:rsidRDefault="00936453">
    <w:pPr>
      <w:pStyle w:val="Header"/>
    </w:pPr>
    <w:r>
      <w:rPr>
        <w:noProof/>
      </w:rPr>
      <w:pict w14:anchorId="1A02C0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167391" o:spid="_x0000_s2050" type="#_x0000_t136" style="position:absolute;left:0;text-align:left;margin-left:0;margin-top:0;width:532.15pt;height:177.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5C98B" w14:textId="0C8001E3" w:rsidR="00936453" w:rsidRDefault="00936453">
    <w:pPr>
      <w:pStyle w:val="Header"/>
    </w:pPr>
    <w:r>
      <w:rPr>
        <w:noProof/>
      </w:rPr>
      <w:pict w14:anchorId="4EA0DE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167392" o:spid="_x0000_s2051" type="#_x0000_t136" style="position:absolute;left:0;text-align:left;margin-left:0;margin-top:0;width:532.15pt;height:177.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F93D1" w14:textId="39970882" w:rsidR="00936453" w:rsidRDefault="00936453">
    <w:pPr>
      <w:pStyle w:val="Header"/>
    </w:pPr>
    <w:r>
      <w:rPr>
        <w:noProof/>
      </w:rPr>
      <w:pict w14:anchorId="5D87B0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9167390" o:spid="_x0000_s2049" type="#_x0000_t136" style="position:absolute;left:0;text-align:left;margin-left:0;margin-top:0;width:532.15pt;height:177.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60EB6"/>
    <w:multiLevelType w:val="hybridMultilevel"/>
    <w:tmpl w:val="B80EA738"/>
    <w:lvl w:ilvl="0" w:tplc="DA1E656E">
      <w:start w:val="2"/>
      <w:numFmt w:val="bullet"/>
      <w:lvlText w:val="-"/>
      <w:lvlJc w:val="left"/>
      <w:pPr>
        <w:ind w:left="720" w:hanging="360"/>
      </w:pPr>
      <w:rPr>
        <w:rFonts w:ascii="Times New Roman" w:eastAsia="Arial"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B064F5"/>
    <w:multiLevelType w:val="multilevel"/>
    <w:tmpl w:val="A48C2B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46950"/>
    <w:multiLevelType w:val="multilevel"/>
    <w:tmpl w:val="CD3619E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5D3DAD"/>
    <w:multiLevelType w:val="multilevel"/>
    <w:tmpl w:val="9432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9" w15:restartNumberingAfterBreak="0">
    <w:nsid w:val="205E660F"/>
    <w:multiLevelType w:val="multilevel"/>
    <w:tmpl w:val="30408C6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2096017"/>
    <w:multiLevelType w:val="multilevel"/>
    <w:tmpl w:val="250A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2" w15:restartNumberingAfterBreak="0">
    <w:nsid w:val="29CA7601"/>
    <w:multiLevelType w:val="multilevel"/>
    <w:tmpl w:val="8670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785259"/>
    <w:multiLevelType w:val="hybridMultilevel"/>
    <w:tmpl w:val="B4665E4A"/>
    <w:lvl w:ilvl="0" w:tplc="D9D8AD98">
      <w:start w:val="1"/>
      <w:numFmt w:val="bullet"/>
      <w:lvlText w:val=""/>
      <w:lvlJc w:val="left"/>
      <w:pPr>
        <w:ind w:left="720" w:hanging="360"/>
      </w:pPr>
      <w:rPr>
        <w:rFonts w:ascii="Symbol" w:hAnsi="Symbol"/>
      </w:rPr>
    </w:lvl>
    <w:lvl w:ilvl="1" w:tplc="3676CC8C">
      <w:start w:val="1"/>
      <w:numFmt w:val="bullet"/>
      <w:lvlText w:val=""/>
      <w:lvlJc w:val="left"/>
      <w:pPr>
        <w:ind w:left="720" w:hanging="360"/>
      </w:pPr>
      <w:rPr>
        <w:rFonts w:ascii="Symbol" w:hAnsi="Symbol"/>
      </w:rPr>
    </w:lvl>
    <w:lvl w:ilvl="2" w:tplc="A20E8162">
      <w:start w:val="1"/>
      <w:numFmt w:val="bullet"/>
      <w:lvlText w:val=""/>
      <w:lvlJc w:val="left"/>
      <w:pPr>
        <w:ind w:left="720" w:hanging="360"/>
      </w:pPr>
      <w:rPr>
        <w:rFonts w:ascii="Symbol" w:hAnsi="Symbol"/>
      </w:rPr>
    </w:lvl>
    <w:lvl w:ilvl="3" w:tplc="1628609C">
      <w:start w:val="1"/>
      <w:numFmt w:val="bullet"/>
      <w:lvlText w:val=""/>
      <w:lvlJc w:val="left"/>
      <w:pPr>
        <w:ind w:left="720" w:hanging="360"/>
      </w:pPr>
      <w:rPr>
        <w:rFonts w:ascii="Symbol" w:hAnsi="Symbol"/>
      </w:rPr>
    </w:lvl>
    <w:lvl w:ilvl="4" w:tplc="D666A50A">
      <w:start w:val="1"/>
      <w:numFmt w:val="bullet"/>
      <w:lvlText w:val=""/>
      <w:lvlJc w:val="left"/>
      <w:pPr>
        <w:ind w:left="720" w:hanging="360"/>
      </w:pPr>
      <w:rPr>
        <w:rFonts w:ascii="Symbol" w:hAnsi="Symbol"/>
      </w:rPr>
    </w:lvl>
    <w:lvl w:ilvl="5" w:tplc="20F6D462">
      <w:start w:val="1"/>
      <w:numFmt w:val="bullet"/>
      <w:lvlText w:val=""/>
      <w:lvlJc w:val="left"/>
      <w:pPr>
        <w:ind w:left="720" w:hanging="360"/>
      </w:pPr>
      <w:rPr>
        <w:rFonts w:ascii="Symbol" w:hAnsi="Symbol"/>
      </w:rPr>
    </w:lvl>
    <w:lvl w:ilvl="6" w:tplc="6A408730">
      <w:start w:val="1"/>
      <w:numFmt w:val="bullet"/>
      <w:lvlText w:val=""/>
      <w:lvlJc w:val="left"/>
      <w:pPr>
        <w:ind w:left="720" w:hanging="360"/>
      </w:pPr>
      <w:rPr>
        <w:rFonts w:ascii="Symbol" w:hAnsi="Symbol"/>
      </w:rPr>
    </w:lvl>
    <w:lvl w:ilvl="7" w:tplc="9F04F62E">
      <w:start w:val="1"/>
      <w:numFmt w:val="bullet"/>
      <w:lvlText w:val=""/>
      <w:lvlJc w:val="left"/>
      <w:pPr>
        <w:ind w:left="720" w:hanging="360"/>
      </w:pPr>
      <w:rPr>
        <w:rFonts w:ascii="Symbol" w:hAnsi="Symbol"/>
      </w:rPr>
    </w:lvl>
    <w:lvl w:ilvl="8" w:tplc="0164CABC">
      <w:start w:val="1"/>
      <w:numFmt w:val="bullet"/>
      <w:lvlText w:val=""/>
      <w:lvlJc w:val="left"/>
      <w:pPr>
        <w:ind w:left="720" w:hanging="360"/>
      </w:pPr>
      <w:rPr>
        <w:rFonts w:ascii="Symbol" w:hAnsi="Symbol"/>
      </w:rPr>
    </w:lvl>
  </w:abstractNum>
  <w:abstractNum w:abstractNumId="16" w15:restartNumberingAfterBreak="0">
    <w:nsid w:val="32D31604"/>
    <w:multiLevelType w:val="hybridMultilevel"/>
    <w:tmpl w:val="87683842"/>
    <w:lvl w:ilvl="0" w:tplc="AAD67F3E">
      <w:start w:val="1"/>
      <w:numFmt w:val="bullet"/>
      <w:lvlText w:val=""/>
      <w:lvlJc w:val="left"/>
      <w:pPr>
        <w:ind w:left="720" w:hanging="360"/>
      </w:pPr>
      <w:rPr>
        <w:rFonts w:ascii="Symbol" w:hAnsi="Symbol"/>
      </w:rPr>
    </w:lvl>
    <w:lvl w:ilvl="1" w:tplc="02D29D4C">
      <w:start w:val="1"/>
      <w:numFmt w:val="bullet"/>
      <w:lvlText w:val=""/>
      <w:lvlJc w:val="left"/>
      <w:pPr>
        <w:ind w:left="720" w:hanging="360"/>
      </w:pPr>
      <w:rPr>
        <w:rFonts w:ascii="Symbol" w:hAnsi="Symbol"/>
      </w:rPr>
    </w:lvl>
    <w:lvl w:ilvl="2" w:tplc="1936AFF4">
      <w:start w:val="1"/>
      <w:numFmt w:val="bullet"/>
      <w:lvlText w:val=""/>
      <w:lvlJc w:val="left"/>
      <w:pPr>
        <w:ind w:left="720" w:hanging="360"/>
      </w:pPr>
      <w:rPr>
        <w:rFonts w:ascii="Symbol" w:hAnsi="Symbol"/>
      </w:rPr>
    </w:lvl>
    <w:lvl w:ilvl="3" w:tplc="B1D27394">
      <w:start w:val="1"/>
      <w:numFmt w:val="bullet"/>
      <w:lvlText w:val=""/>
      <w:lvlJc w:val="left"/>
      <w:pPr>
        <w:ind w:left="720" w:hanging="360"/>
      </w:pPr>
      <w:rPr>
        <w:rFonts w:ascii="Symbol" w:hAnsi="Symbol"/>
      </w:rPr>
    </w:lvl>
    <w:lvl w:ilvl="4" w:tplc="8DAA6006">
      <w:start w:val="1"/>
      <w:numFmt w:val="bullet"/>
      <w:lvlText w:val=""/>
      <w:lvlJc w:val="left"/>
      <w:pPr>
        <w:ind w:left="720" w:hanging="360"/>
      </w:pPr>
      <w:rPr>
        <w:rFonts w:ascii="Symbol" w:hAnsi="Symbol"/>
      </w:rPr>
    </w:lvl>
    <w:lvl w:ilvl="5" w:tplc="48A437C2">
      <w:start w:val="1"/>
      <w:numFmt w:val="bullet"/>
      <w:lvlText w:val=""/>
      <w:lvlJc w:val="left"/>
      <w:pPr>
        <w:ind w:left="720" w:hanging="360"/>
      </w:pPr>
      <w:rPr>
        <w:rFonts w:ascii="Symbol" w:hAnsi="Symbol"/>
      </w:rPr>
    </w:lvl>
    <w:lvl w:ilvl="6" w:tplc="893EA4F4">
      <w:start w:val="1"/>
      <w:numFmt w:val="bullet"/>
      <w:lvlText w:val=""/>
      <w:lvlJc w:val="left"/>
      <w:pPr>
        <w:ind w:left="720" w:hanging="360"/>
      </w:pPr>
      <w:rPr>
        <w:rFonts w:ascii="Symbol" w:hAnsi="Symbol"/>
      </w:rPr>
    </w:lvl>
    <w:lvl w:ilvl="7" w:tplc="BC06B182">
      <w:start w:val="1"/>
      <w:numFmt w:val="bullet"/>
      <w:lvlText w:val=""/>
      <w:lvlJc w:val="left"/>
      <w:pPr>
        <w:ind w:left="720" w:hanging="360"/>
      </w:pPr>
      <w:rPr>
        <w:rFonts w:ascii="Symbol" w:hAnsi="Symbol"/>
      </w:rPr>
    </w:lvl>
    <w:lvl w:ilvl="8" w:tplc="5464F39E">
      <w:start w:val="1"/>
      <w:numFmt w:val="bullet"/>
      <w:lvlText w:val=""/>
      <w:lvlJc w:val="left"/>
      <w:pPr>
        <w:ind w:left="720" w:hanging="360"/>
      </w:pPr>
      <w:rPr>
        <w:rFonts w:ascii="Symbol" w:hAnsi="Symbol"/>
      </w:rPr>
    </w:lvl>
  </w:abstractNum>
  <w:abstractNum w:abstractNumId="17" w15:restartNumberingAfterBreak="0">
    <w:nsid w:val="37AE49B8"/>
    <w:multiLevelType w:val="multilevel"/>
    <w:tmpl w:val="5EC8B5A8"/>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C548A8"/>
    <w:multiLevelType w:val="hybridMultilevel"/>
    <w:tmpl w:val="1F9E6130"/>
    <w:lvl w:ilvl="0" w:tplc="E8524754">
      <w:start w:val="1"/>
      <w:numFmt w:val="bullet"/>
      <w:lvlText w:val=""/>
      <w:lvlJc w:val="left"/>
      <w:pPr>
        <w:ind w:left="720" w:hanging="360"/>
      </w:pPr>
      <w:rPr>
        <w:rFonts w:ascii="Symbol" w:hAnsi="Symbol"/>
      </w:rPr>
    </w:lvl>
    <w:lvl w:ilvl="1" w:tplc="DB8E8B34">
      <w:start w:val="1"/>
      <w:numFmt w:val="bullet"/>
      <w:lvlText w:val=""/>
      <w:lvlJc w:val="left"/>
      <w:pPr>
        <w:ind w:left="720" w:hanging="360"/>
      </w:pPr>
      <w:rPr>
        <w:rFonts w:ascii="Symbol" w:hAnsi="Symbol"/>
      </w:rPr>
    </w:lvl>
    <w:lvl w:ilvl="2" w:tplc="CD96878C">
      <w:start w:val="1"/>
      <w:numFmt w:val="bullet"/>
      <w:lvlText w:val=""/>
      <w:lvlJc w:val="left"/>
      <w:pPr>
        <w:ind w:left="720" w:hanging="360"/>
      </w:pPr>
      <w:rPr>
        <w:rFonts w:ascii="Symbol" w:hAnsi="Symbol"/>
      </w:rPr>
    </w:lvl>
    <w:lvl w:ilvl="3" w:tplc="82101672">
      <w:start w:val="1"/>
      <w:numFmt w:val="bullet"/>
      <w:lvlText w:val=""/>
      <w:lvlJc w:val="left"/>
      <w:pPr>
        <w:ind w:left="720" w:hanging="360"/>
      </w:pPr>
      <w:rPr>
        <w:rFonts w:ascii="Symbol" w:hAnsi="Symbol"/>
      </w:rPr>
    </w:lvl>
    <w:lvl w:ilvl="4" w:tplc="741AA3EC">
      <w:start w:val="1"/>
      <w:numFmt w:val="bullet"/>
      <w:lvlText w:val=""/>
      <w:lvlJc w:val="left"/>
      <w:pPr>
        <w:ind w:left="720" w:hanging="360"/>
      </w:pPr>
      <w:rPr>
        <w:rFonts w:ascii="Symbol" w:hAnsi="Symbol"/>
      </w:rPr>
    </w:lvl>
    <w:lvl w:ilvl="5" w:tplc="3A680EFE">
      <w:start w:val="1"/>
      <w:numFmt w:val="bullet"/>
      <w:lvlText w:val=""/>
      <w:lvlJc w:val="left"/>
      <w:pPr>
        <w:ind w:left="720" w:hanging="360"/>
      </w:pPr>
      <w:rPr>
        <w:rFonts w:ascii="Symbol" w:hAnsi="Symbol"/>
      </w:rPr>
    </w:lvl>
    <w:lvl w:ilvl="6" w:tplc="9B3273E2">
      <w:start w:val="1"/>
      <w:numFmt w:val="bullet"/>
      <w:lvlText w:val=""/>
      <w:lvlJc w:val="left"/>
      <w:pPr>
        <w:ind w:left="720" w:hanging="360"/>
      </w:pPr>
      <w:rPr>
        <w:rFonts w:ascii="Symbol" w:hAnsi="Symbol"/>
      </w:rPr>
    </w:lvl>
    <w:lvl w:ilvl="7" w:tplc="42DA0FC0">
      <w:start w:val="1"/>
      <w:numFmt w:val="bullet"/>
      <w:lvlText w:val=""/>
      <w:lvlJc w:val="left"/>
      <w:pPr>
        <w:ind w:left="720" w:hanging="360"/>
      </w:pPr>
      <w:rPr>
        <w:rFonts w:ascii="Symbol" w:hAnsi="Symbol"/>
      </w:rPr>
    </w:lvl>
    <w:lvl w:ilvl="8" w:tplc="8DC417F0">
      <w:start w:val="1"/>
      <w:numFmt w:val="bullet"/>
      <w:lvlText w:val=""/>
      <w:lvlJc w:val="left"/>
      <w:pPr>
        <w:ind w:left="720" w:hanging="360"/>
      </w:pPr>
      <w:rPr>
        <w:rFonts w:ascii="Symbol" w:hAnsi="Symbol"/>
      </w:rPr>
    </w:lvl>
  </w:abstractNum>
  <w:abstractNum w:abstractNumId="20"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22"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3"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24" w15:restartNumberingAfterBreak="0">
    <w:nsid w:val="4D2374DB"/>
    <w:multiLevelType w:val="hybridMultilevel"/>
    <w:tmpl w:val="9CC233B0"/>
    <w:lvl w:ilvl="0" w:tplc="3C0C0DC2">
      <w:start w:val="1"/>
      <w:numFmt w:val="bullet"/>
      <w:lvlText w:val=""/>
      <w:lvlJc w:val="left"/>
      <w:pPr>
        <w:ind w:left="720" w:hanging="360"/>
      </w:pPr>
      <w:rPr>
        <w:rFonts w:ascii="Symbol" w:hAnsi="Symbol"/>
      </w:rPr>
    </w:lvl>
    <w:lvl w:ilvl="1" w:tplc="41E8B632">
      <w:start w:val="1"/>
      <w:numFmt w:val="bullet"/>
      <w:lvlText w:val=""/>
      <w:lvlJc w:val="left"/>
      <w:pPr>
        <w:ind w:left="720" w:hanging="360"/>
      </w:pPr>
      <w:rPr>
        <w:rFonts w:ascii="Symbol" w:hAnsi="Symbol"/>
      </w:rPr>
    </w:lvl>
    <w:lvl w:ilvl="2" w:tplc="1B1682E4">
      <w:start w:val="1"/>
      <w:numFmt w:val="bullet"/>
      <w:lvlText w:val=""/>
      <w:lvlJc w:val="left"/>
      <w:pPr>
        <w:ind w:left="720" w:hanging="360"/>
      </w:pPr>
      <w:rPr>
        <w:rFonts w:ascii="Symbol" w:hAnsi="Symbol"/>
      </w:rPr>
    </w:lvl>
    <w:lvl w:ilvl="3" w:tplc="F07C4392">
      <w:start w:val="1"/>
      <w:numFmt w:val="bullet"/>
      <w:lvlText w:val=""/>
      <w:lvlJc w:val="left"/>
      <w:pPr>
        <w:ind w:left="720" w:hanging="360"/>
      </w:pPr>
      <w:rPr>
        <w:rFonts w:ascii="Symbol" w:hAnsi="Symbol"/>
      </w:rPr>
    </w:lvl>
    <w:lvl w:ilvl="4" w:tplc="B99E86DC">
      <w:start w:val="1"/>
      <w:numFmt w:val="bullet"/>
      <w:lvlText w:val=""/>
      <w:lvlJc w:val="left"/>
      <w:pPr>
        <w:ind w:left="720" w:hanging="360"/>
      </w:pPr>
      <w:rPr>
        <w:rFonts w:ascii="Symbol" w:hAnsi="Symbol"/>
      </w:rPr>
    </w:lvl>
    <w:lvl w:ilvl="5" w:tplc="3EF22E40">
      <w:start w:val="1"/>
      <w:numFmt w:val="bullet"/>
      <w:lvlText w:val=""/>
      <w:lvlJc w:val="left"/>
      <w:pPr>
        <w:ind w:left="720" w:hanging="360"/>
      </w:pPr>
      <w:rPr>
        <w:rFonts w:ascii="Symbol" w:hAnsi="Symbol"/>
      </w:rPr>
    </w:lvl>
    <w:lvl w:ilvl="6" w:tplc="BE6CC8D2">
      <w:start w:val="1"/>
      <w:numFmt w:val="bullet"/>
      <w:lvlText w:val=""/>
      <w:lvlJc w:val="left"/>
      <w:pPr>
        <w:ind w:left="720" w:hanging="360"/>
      </w:pPr>
      <w:rPr>
        <w:rFonts w:ascii="Symbol" w:hAnsi="Symbol"/>
      </w:rPr>
    </w:lvl>
    <w:lvl w:ilvl="7" w:tplc="DD581DB2">
      <w:start w:val="1"/>
      <w:numFmt w:val="bullet"/>
      <w:lvlText w:val=""/>
      <w:lvlJc w:val="left"/>
      <w:pPr>
        <w:ind w:left="720" w:hanging="360"/>
      </w:pPr>
      <w:rPr>
        <w:rFonts w:ascii="Symbol" w:hAnsi="Symbol"/>
      </w:rPr>
    </w:lvl>
    <w:lvl w:ilvl="8" w:tplc="9482E6AE">
      <w:start w:val="1"/>
      <w:numFmt w:val="bullet"/>
      <w:lvlText w:val=""/>
      <w:lvlJc w:val="left"/>
      <w:pPr>
        <w:ind w:left="720" w:hanging="360"/>
      </w:pPr>
      <w:rPr>
        <w:rFonts w:ascii="Symbol" w:hAnsi="Symbol"/>
      </w:rPr>
    </w:lvl>
  </w:abstractNum>
  <w:abstractNum w:abstractNumId="25"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9" w15:restartNumberingAfterBreak="0">
    <w:nsid w:val="606553B5"/>
    <w:multiLevelType w:val="hybridMultilevel"/>
    <w:tmpl w:val="1256D0B8"/>
    <w:lvl w:ilvl="0" w:tplc="B7DCF76A">
      <w:start w:val="1"/>
      <w:numFmt w:val="decimal"/>
      <w:lvlText w:val="%1."/>
      <w:lvlJc w:val="left"/>
      <w:pPr>
        <w:ind w:left="720" w:hanging="360"/>
      </w:pPr>
    </w:lvl>
    <w:lvl w:ilvl="1" w:tplc="1EF85222">
      <w:start w:val="1"/>
      <w:numFmt w:val="decimal"/>
      <w:lvlText w:val="%2."/>
      <w:lvlJc w:val="left"/>
      <w:pPr>
        <w:ind w:left="720" w:hanging="360"/>
      </w:pPr>
    </w:lvl>
    <w:lvl w:ilvl="2" w:tplc="36A8567A">
      <w:start w:val="1"/>
      <w:numFmt w:val="decimal"/>
      <w:lvlText w:val="%3."/>
      <w:lvlJc w:val="left"/>
      <w:pPr>
        <w:ind w:left="720" w:hanging="360"/>
      </w:pPr>
    </w:lvl>
    <w:lvl w:ilvl="3" w:tplc="125A48D6">
      <w:start w:val="1"/>
      <w:numFmt w:val="decimal"/>
      <w:lvlText w:val="%4."/>
      <w:lvlJc w:val="left"/>
      <w:pPr>
        <w:ind w:left="720" w:hanging="360"/>
      </w:pPr>
    </w:lvl>
    <w:lvl w:ilvl="4" w:tplc="BC22F1BC">
      <w:start w:val="1"/>
      <w:numFmt w:val="decimal"/>
      <w:lvlText w:val="%5."/>
      <w:lvlJc w:val="left"/>
      <w:pPr>
        <w:ind w:left="720" w:hanging="360"/>
      </w:pPr>
    </w:lvl>
    <w:lvl w:ilvl="5" w:tplc="8376D8F8">
      <w:start w:val="1"/>
      <w:numFmt w:val="decimal"/>
      <w:lvlText w:val="%6."/>
      <w:lvlJc w:val="left"/>
      <w:pPr>
        <w:ind w:left="720" w:hanging="360"/>
      </w:pPr>
    </w:lvl>
    <w:lvl w:ilvl="6" w:tplc="64C66BE6">
      <w:start w:val="1"/>
      <w:numFmt w:val="decimal"/>
      <w:lvlText w:val="%7."/>
      <w:lvlJc w:val="left"/>
      <w:pPr>
        <w:ind w:left="720" w:hanging="360"/>
      </w:pPr>
    </w:lvl>
    <w:lvl w:ilvl="7" w:tplc="D6D415AE">
      <w:start w:val="1"/>
      <w:numFmt w:val="decimal"/>
      <w:lvlText w:val="%8."/>
      <w:lvlJc w:val="left"/>
      <w:pPr>
        <w:ind w:left="720" w:hanging="360"/>
      </w:pPr>
    </w:lvl>
    <w:lvl w:ilvl="8" w:tplc="14F8E268">
      <w:start w:val="1"/>
      <w:numFmt w:val="decimal"/>
      <w:lvlText w:val="%9."/>
      <w:lvlJc w:val="left"/>
      <w:pPr>
        <w:ind w:left="720" w:hanging="360"/>
      </w:pPr>
    </w:lvl>
  </w:abstractNum>
  <w:abstractNum w:abstractNumId="30"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31"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32" w15:restartNumberingAfterBreak="0">
    <w:nsid w:val="6F903EAB"/>
    <w:multiLevelType w:val="hybridMultilevel"/>
    <w:tmpl w:val="E912D5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C707E0"/>
    <w:multiLevelType w:val="hybridMultilevel"/>
    <w:tmpl w:val="90D26B88"/>
    <w:lvl w:ilvl="0" w:tplc="C5861998">
      <w:start w:val="1"/>
      <w:numFmt w:val="bullet"/>
      <w:lvlText w:val=""/>
      <w:lvlJc w:val="left"/>
      <w:pPr>
        <w:ind w:left="720" w:hanging="360"/>
      </w:pPr>
      <w:rPr>
        <w:rFonts w:ascii="Symbol" w:hAnsi="Symbol"/>
      </w:rPr>
    </w:lvl>
    <w:lvl w:ilvl="1" w:tplc="4C4A3E0C">
      <w:start w:val="1"/>
      <w:numFmt w:val="bullet"/>
      <w:lvlText w:val=""/>
      <w:lvlJc w:val="left"/>
      <w:pPr>
        <w:ind w:left="720" w:hanging="360"/>
      </w:pPr>
      <w:rPr>
        <w:rFonts w:ascii="Symbol" w:hAnsi="Symbol"/>
      </w:rPr>
    </w:lvl>
    <w:lvl w:ilvl="2" w:tplc="C6E84424">
      <w:start w:val="1"/>
      <w:numFmt w:val="bullet"/>
      <w:lvlText w:val=""/>
      <w:lvlJc w:val="left"/>
      <w:pPr>
        <w:ind w:left="720" w:hanging="360"/>
      </w:pPr>
      <w:rPr>
        <w:rFonts w:ascii="Symbol" w:hAnsi="Symbol"/>
      </w:rPr>
    </w:lvl>
    <w:lvl w:ilvl="3" w:tplc="6F428FB0">
      <w:start w:val="1"/>
      <w:numFmt w:val="bullet"/>
      <w:lvlText w:val=""/>
      <w:lvlJc w:val="left"/>
      <w:pPr>
        <w:ind w:left="720" w:hanging="360"/>
      </w:pPr>
      <w:rPr>
        <w:rFonts w:ascii="Symbol" w:hAnsi="Symbol"/>
      </w:rPr>
    </w:lvl>
    <w:lvl w:ilvl="4" w:tplc="F43E7E26">
      <w:start w:val="1"/>
      <w:numFmt w:val="bullet"/>
      <w:lvlText w:val=""/>
      <w:lvlJc w:val="left"/>
      <w:pPr>
        <w:ind w:left="720" w:hanging="360"/>
      </w:pPr>
      <w:rPr>
        <w:rFonts w:ascii="Symbol" w:hAnsi="Symbol"/>
      </w:rPr>
    </w:lvl>
    <w:lvl w:ilvl="5" w:tplc="E6C47232">
      <w:start w:val="1"/>
      <w:numFmt w:val="bullet"/>
      <w:lvlText w:val=""/>
      <w:lvlJc w:val="left"/>
      <w:pPr>
        <w:ind w:left="720" w:hanging="360"/>
      </w:pPr>
      <w:rPr>
        <w:rFonts w:ascii="Symbol" w:hAnsi="Symbol"/>
      </w:rPr>
    </w:lvl>
    <w:lvl w:ilvl="6" w:tplc="6E5EA8B8">
      <w:start w:val="1"/>
      <w:numFmt w:val="bullet"/>
      <w:lvlText w:val=""/>
      <w:lvlJc w:val="left"/>
      <w:pPr>
        <w:ind w:left="720" w:hanging="360"/>
      </w:pPr>
      <w:rPr>
        <w:rFonts w:ascii="Symbol" w:hAnsi="Symbol"/>
      </w:rPr>
    </w:lvl>
    <w:lvl w:ilvl="7" w:tplc="2B4C62F6">
      <w:start w:val="1"/>
      <w:numFmt w:val="bullet"/>
      <w:lvlText w:val=""/>
      <w:lvlJc w:val="left"/>
      <w:pPr>
        <w:ind w:left="720" w:hanging="360"/>
      </w:pPr>
      <w:rPr>
        <w:rFonts w:ascii="Symbol" w:hAnsi="Symbol"/>
      </w:rPr>
    </w:lvl>
    <w:lvl w:ilvl="8" w:tplc="E90AA4C4">
      <w:start w:val="1"/>
      <w:numFmt w:val="bullet"/>
      <w:lvlText w:val=""/>
      <w:lvlJc w:val="left"/>
      <w:pPr>
        <w:ind w:left="720" w:hanging="360"/>
      </w:pPr>
      <w:rPr>
        <w:rFonts w:ascii="Symbol" w:hAnsi="Symbol"/>
      </w:rPr>
    </w:lvl>
  </w:abstractNum>
  <w:abstractNum w:abstractNumId="34"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6"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37"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9"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40"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11"/>
  </w:num>
  <w:num w:numId="2" w16cid:durableId="1308049185">
    <w:abstractNumId w:val="31"/>
  </w:num>
  <w:num w:numId="3" w16cid:durableId="1035697925">
    <w:abstractNumId w:val="8"/>
  </w:num>
  <w:num w:numId="4" w16cid:durableId="1979843409">
    <w:abstractNumId w:val="23"/>
  </w:num>
  <w:num w:numId="5" w16cid:durableId="1953629038">
    <w:abstractNumId w:val="40"/>
  </w:num>
  <w:num w:numId="6" w16cid:durableId="1574121844">
    <w:abstractNumId w:val="36"/>
  </w:num>
  <w:num w:numId="7" w16cid:durableId="1697122648">
    <w:abstractNumId w:val="17"/>
  </w:num>
  <w:num w:numId="8" w16cid:durableId="960260748">
    <w:abstractNumId w:val="39"/>
  </w:num>
  <w:num w:numId="9" w16cid:durableId="2066835283">
    <w:abstractNumId w:val="18"/>
  </w:num>
  <w:num w:numId="10" w16cid:durableId="841776307">
    <w:abstractNumId w:val="34"/>
  </w:num>
  <w:num w:numId="11" w16cid:durableId="881405163">
    <w:abstractNumId w:val="20"/>
  </w:num>
  <w:num w:numId="12" w16cid:durableId="1101489781">
    <w:abstractNumId w:val="26"/>
  </w:num>
  <w:num w:numId="13" w16cid:durableId="133717375">
    <w:abstractNumId w:val="0"/>
  </w:num>
  <w:num w:numId="14" w16cid:durableId="766929813">
    <w:abstractNumId w:val="35"/>
  </w:num>
  <w:num w:numId="15" w16cid:durableId="39592240">
    <w:abstractNumId w:val="37"/>
  </w:num>
  <w:num w:numId="16" w16cid:durableId="795834038">
    <w:abstractNumId w:val="6"/>
  </w:num>
  <w:num w:numId="17" w16cid:durableId="580481873">
    <w:abstractNumId w:val="15"/>
  </w:num>
  <w:num w:numId="18" w16cid:durableId="731346895">
    <w:abstractNumId w:val="22"/>
  </w:num>
  <w:num w:numId="19" w16cid:durableId="1623607338">
    <w:abstractNumId w:val="38"/>
  </w:num>
  <w:num w:numId="20" w16cid:durableId="764808002">
    <w:abstractNumId w:val="29"/>
  </w:num>
  <w:num w:numId="21" w16cid:durableId="300505855">
    <w:abstractNumId w:val="24"/>
  </w:num>
  <w:num w:numId="22" w16cid:durableId="1624924783">
    <w:abstractNumId w:val="9"/>
  </w:num>
  <w:num w:numId="23" w16cid:durableId="1503397280">
    <w:abstractNumId w:val="32"/>
  </w:num>
  <w:num w:numId="24" w16cid:durableId="252784808">
    <w:abstractNumId w:val="4"/>
  </w:num>
  <w:num w:numId="25" w16cid:durableId="1140070627">
    <w:abstractNumId w:val="33"/>
  </w:num>
  <w:num w:numId="26" w16cid:durableId="1589191169">
    <w:abstractNumId w:val="19"/>
  </w:num>
  <w:num w:numId="27" w16cid:durableId="1432435033">
    <w:abstractNumId w:val="16"/>
  </w:num>
  <w:num w:numId="28" w16cid:durableId="1629049764">
    <w:abstractNumId w:val="21"/>
  </w:num>
  <w:num w:numId="29" w16cid:durableId="1939092424">
    <w:abstractNumId w:val="30"/>
  </w:num>
  <w:num w:numId="30" w16cid:durableId="746999671">
    <w:abstractNumId w:val="25"/>
  </w:num>
  <w:num w:numId="31" w16cid:durableId="1638222144">
    <w:abstractNumId w:val="3"/>
  </w:num>
  <w:num w:numId="32" w16cid:durableId="185944798">
    <w:abstractNumId w:val="13"/>
  </w:num>
  <w:num w:numId="33" w16cid:durableId="865484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730754">
    <w:abstractNumId w:val="28"/>
  </w:num>
  <w:num w:numId="35" w16cid:durableId="994069816">
    <w:abstractNumId w:val="5"/>
  </w:num>
  <w:num w:numId="36" w16cid:durableId="1053043022">
    <w:abstractNumId w:val="1"/>
  </w:num>
  <w:num w:numId="37" w16cid:durableId="1022171452">
    <w:abstractNumId w:val="27"/>
  </w:num>
  <w:num w:numId="38" w16cid:durableId="57703986">
    <w:abstractNumId w:val="7"/>
  </w:num>
  <w:num w:numId="39" w16cid:durableId="1026754700">
    <w:abstractNumId w:val="10"/>
  </w:num>
  <w:num w:numId="40" w16cid:durableId="920988289">
    <w:abstractNumId w:val="12"/>
  </w:num>
  <w:num w:numId="41" w16cid:durableId="983855779">
    <w:abstractNumId w:val="14"/>
  </w:num>
  <w:num w:numId="42" w16cid:durableId="293868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5932"/>
    <w:rsid w:val="00006613"/>
    <w:rsid w:val="00006FBD"/>
    <w:rsid w:val="00007193"/>
    <w:rsid w:val="00007E3F"/>
    <w:rsid w:val="000102CC"/>
    <w:rsid w:val="0001489E"/>
    <w:rsid w:val="00016F4E"/>
    <w:rsid w:val="00020937"/>
    <w:rsid w:val="00045236"/>
    <w:rsid w:val="00047748"/>
    <w:rsid w:val="00056F33"/>
    <w:rsid w:val="00064976"/>
    <w:rsid w:val="00071E16"/>
    <w:rsid w:val="00080756"/>
    <w:rsid w:val="00081B00"/>
    <w:rsid w:val="00082719"/>
    <w:rsid w:val="00084D52"/>
    <w:rsid w:val="000A224D"/>
    <w:rsid w:val="000A649C"/>
    <w:rsid w:val="000A6FF8"/>
    <w:rsid w:val="000B179B"/>
    <w:rsid w:val="000B29DB"/>
    <w:rsid w:val="000B48B5"/>
    <w:rsid w:val="000C157B"/>
    <w:rsid w:val="000C7440"/>
    <w:rsid w:val="000D1ED2"/>
    <w:rsid w:val="000E1A5D"/>
    <w:rsid w:val="000E6AFE"/>
    <w:rsid w:val="000F0F3C"/>
    <w:rsid w:val="000F3029"/>
    <w:rsid w:val="000F3A66"/>
    <w:rsid w:val="001005A3"/>
    <w:rsid w:val="00104E6C"/>
    <w:rsid w:val="00113BE4"/>
    <w:rsid w:val="0011797F"/>
    <w:rsid w:val="00117FB0"/>
    <w:rsid w:val="00120983"/>
    <w:rsid w:val="00123CFF"/>
    <w:rsid w:val="00136A9E"/>
    <w:rsid w:val="00151AEF"/>
    <w:rsid w:val="00155232"/>
    <w:rsid w:val="00156585"/>
    <w:rsid w:val="00162FCA"/>
    <w:rsid w:val="001673A5"/>
    <w:rsid w:val="0018297C"/>
    <w:rsid w:val="00186294"/>
    <w:rsid w:val="00186F80"/>
    <w:rsid w:val="001B041E"/>
    <w:rsid w:val="001B18CF"/>
    <w:rsid w:val="001B2348"/>
    <w:rsid w:val="001B61B5"/>
    <w:rsid w:val="001B65E2"/>
    <w:rsid w:val="001B68A4"/>
    <w:rsid w:val="001C7C12"/>
    <w:rsid w:val="001D217F"/>
    <w:rsid w:val="001D5D69"/>
    <w:rsid w:val="001E4C6A"/>
    <w:rsid w:val="0020733A"/>
    <w:rsid w:val="002145C4"/>
    <w:rsid w:val="00216C7C"/>
    <w:rsid w:val="00217E19"/>
    <w:rsid w:val="002218BD"/>
    <w:rsid w:val="002240A9"/>
    <w:rsid w:val="00224C7E"/>
    <w:rsid w:val="00225F06"/>
    <w:rsid w:val="002301EF"/>
    <w:rsid w:val="00231A45"/>
    <w:rsid w:val="002362BA"/>
    <w:rsid w:val="0023651E"/>
    <w:rsid w:val="00241338"/>
    <w:rsid w:val="00242D30"/>
    <w:rsid w:val="00251457"/>
    <w:rsid w:val="00253344"/>
    <w:rsid w:val="0025661A"/>
    <w:rsid w:val="00263113"/>
    <w:rsid w:val="002654E1"/>
    <w:rsid w:val="00265B38"/>
    <w:rsid w:val="00267EFF"/>
    <w:rsid w:val="00271A70"/>
    <w:rsid w:val="00275667"/>
    <w:rsid w:val="002823B8"/>
    <w:rsid w:val="00282989"/>
    <w:rsid w:val="00282A96"/>
    <w:rsid w:val="00284F9E"/>
    <w:rsid w:val="0028603F"/>
    <w:rsid w:val="002A32A2"/>
    <w:rsid w:val="002A49D5"/>
    <w:rsid w:val="002A6C07"/>
    <w:rsid w:val="002B408D"/>
    <w:rsid w:val="002C0A46"/>
    <w:rsid w:val="002C3442"/>
    <w:rsid w:val="002D00FC"/>
    <w:rsid w:val="002D0792"/>
    <w:rsid w:val="002D271A"/>
    <w:rsid w:val="00314641"/>
    <w:rsid w:val="0032170E"/>
    <w:rsid w:val="00353633"/>
    <w:rsid w:val="00353ADC"/>
    <w:rsid w:val="00364C52"/>
    <w:rsid w:val="0036548E"/>
    <w:rsid w:val="00367BC1"/>
    <w:rsid w:val="00383F30"/>
    <w:rsid w:val="003870A0"/>
    <w:rsid w:val="003905DA"/>
    <w:rsid w:val="00391159"/>
    <w:rsid w:val="0039216B"/>
    <w:rsid w:val="0039221F"/>
    <w:rsid w:val="003940C0"/>
    <w:rsid w:val="003A0734"/>
    <w:rsid w:val="003A4F60"/>
    <w:rsid w:val="003B18C4"/>
    <w:rsid w:val="003B1EA8"/>
    <w:rsid w:val="003C57DA"/>
    <w:rsid w:val="003D1476"/>
    <w:rsid w:val="003D7189"/>
    <w:rsid w:val="003E001C"/>
    <w:rsid w:val="003E04A5"/>
    <w:rsid w:val="003E6F52"/>
    <w:rsid w:val="0040515F"/>
    <w:rsid w:val="0041000A"/>
    <w:rsid w:val="00411974"/>
    <w:rsid w:val="00411B97"/>
    <w:rsid w:val="00424150"/>
    <w:rsid w:val="00437285"/>
    <w:rsid w:val="00452549"/>
    <w:rsid w:val="00453140"/>
    <w:rsid w:val="00455299"/>
    <w:rsid w:val="004630B7"/>
    <w:rsid w:val="00472567"/>
    <w:rsid w:val="00485262"/>
    <w:rsid w:val="004873BB"/>
    <w:rsid w:val="00487EC8"/>
    <w:rsid w:val="004929CE"/>
    <w:rsid w:val="004A38AA"/>
    <w:rsid w:val="004A3D86"/>
    <w:rsid w:val="004B1B79"/>
    <w:rsid w:val="004C4675"/>
    <w:rsid w:val="004D6CDF"/>
    <w:rsid w:val="004E1D30"/>
    <w:rsid w:val="004E3CAE"/>
    <w:rsid w:val="004E5905"/>
    <w:rsid w:val="004E6973"/>
    <w:rsid w:val="004F286B"/>
    <w:rsid w:val="00506D71"/>
    <w:rsid w:val="00512936"/>
    <w:rsid w:val="00514D3D"/>
    <w:rsid w:val="00515545"/>
    <w:rsid w:val="005221EC"/>
    <w:rsid w:val="00522CC3"/>
    <w:rsid w:val="00526C18"/>
    <w:rsid w:val="00541D15"/>
    <w:rsid w:val="00541F0E"/>
    <w:rsid w:val="00542129"/>
    <w:rsid w:val="005440C2"/>
    <w:rsid w:val="00554125"/>
    <w:rsid w:val="00560B93"/>
    <w:rsid w:val="00564E97"/>
    <w:rsid w:val="00566D73"/>
    <w:rsid w:val="0057350C"/>
    <w:rsid w:val="0059709E"/>
    <w:rsid w:val="005A5879"/>
    <w:rsid w:val="005B58EE"/>
    <w:rsid w:val="005C433C"/>
    <w:rsid w:val="005D35CC"/>
    <w:rsid w:val="005E0369"/>
    <w:rsid w:val="005E1E08"/>
    <w:rsid w:val="005F4416"/>
    <w:rsid w:val="0060127A"/>
    <w:rsid w:val="00603CD2"/>
    <w:rsid w:val="006068D8"/>
    <w:rsid w:val="006121D3"/>
    <w:rsid w:val="006122A6"/>
    <w:rsid w:val="006178F7"/>
    <w:rsid w:val="006313F0"/>
    <w:rsid w:val="00636646"/>
    <w:rsid w:val="0063669D"/>
    <w:rsid w:val="0063712C"/>
    <w:rsid w:val="0064066E"/>
    <w:rsid w:val="006442B2"/>
    <w:rsid w:val="00662285"/>
    <w:rsid w:val="0066715A"/>
    <w:rsid w:val="006730BA"/>
    <w:rsid w:val="00674E37"/>
    <w:rsid w:val="0067700A"/>
    <w:rsid w:val="00677BFA"/>
    <w:rsid w:val="00682595"/>
    <w:rsid w:val="00687F36"/>
    <w:rsid w:val="00692534"/>
    <w:rsid w:val="0069410D"/>
    <w:rsid w:val="006956CF"/>
    <w:rsid w:val="006A25EA"/>
    <w:rsid w:val="006A31B0"/>
    <w:rsid w:val="006B48B0"/>
    <w:rsid w:val="006B4FF4"/>
    <w:rsid w:val="006B5D4F"/>
    <w:rsid w:val="006B65CB"/>
    <w:rsid w:val="006C117E"/>
    <w:rsid w:val="006D571A"/>
    <w:rsid w:val="006D740C"/>
    <w:rsid w:val="006E4900"/>
    <w:rsid w:val="006E54E2"/>
    <w:rsid w:val="006F1309"/>
    <w:rsid w:val="006F1A92"/>
    <w:rsid w:val="006F34F0"/>
    <w:rsid w:val="006F4032"/>
    <w:rsid w:val="006F4D53"/>
    <w:rsid w:val="00704F80"/>
    <w:rsid w:val="0070759A"/>
    <w:rsid w:val="00711576"/>
    <w:rsid w:val="00712751"/>
    <w:rsid w:val="00712FF6"/>
    <w:rsid w:val="00714AF8"/>
    <w:rsid w:val="007206B5"/>
    <w:rsid w:val="007244D1"/>
    <w:rsid w:val="00725705"/>
    <w:rsid w:val="007311A9"/>
    <w:rsid w:val="00737CD2"/>
    <w:rsid w:val="00744623"/>
    <w:rsid w:val="00747532"/>
    <w:rsid w:val="00755507"/>
    <w:rsid w:val="007640C1"/>
    <w:rsid w:val="00765004"/>
    <w:rsid w:val="00766820"/>
    <w:rsid w:val="007710F9"/>
    <w:rsid w:val="00772C61"/>
    <w:rsid w:val="00786E21"/>
    <w:rsid w:val="007A68F2"/>
    <w:rsid w:val="007B19CB"/>
    <w:rsid w:val="007B23EA"/>
    <w:rsid w:val="007B3112"/>
    <w:rsid w:val="007B7A10"/>
    <w:rsid w:val="007C1754"/>
    <w:rsid w:val="007C576A"/>
    <w:rsid w:val="007D4C89"/>
    <w:rsid w:val="007D6311"/>
    <w:rsid w:val="007D7113"/>
    <w:rsid w:val="007D76B5"/>
    <w:rsid w:val="007D7FF7"/>
    <w:rsid w:val="007E2DD2"/>
    <w:rsid w:val="007E3BBC"/>
    <w:rsid w:val="007E634B"/>
    <w:rsid w:val="007F5F4A"/>
    <w:rsid w:val="008008F9"/>
    <w:rsid w:val="00811059"/>
    <w:rsid w:val="0081194A"/>
    <w:rsid w:val="00812D50"/>
    <w:rsid w:val="008231F0"/>
    <w:rsid w:val="00835982"/>
    <w:rsid w:val="00844702"/>
    <w:rsid w:val="00856229"/>
    <w:rsid w:val="00860346"/>
    <w:rsid w:val="00862D51"/>
    <w:rsid w:val="0086711E"/>
    <w:rsid w:val="00871716"/>
    <w:rsid w:val="00872AAD"/>
    <w:rsid w:val="00872FD8"/>
    <w:rsid w:val="00880A6C"/>
    <w:rsid w:val="008904B6"/>
    <w:rsid w:val="00891478"/>
    <w:rsid w:val="00897636"/>
    <w:rsid w:val="008A03C1"/>
    <w:rsid w:val="008A6106"/>
    <w:rsid w:val="008B31DD"/>
    <w:rsid w:val="008B5CF8"/>
    <w:rsid w:val="008B6364"/>
    <w:rsid w:val="008C51DE"/>
    <w:rsid w:val="008C5801"/>
    <w:rsid w:val="008D215E"/>
    <w:rsid w:val="008F0896"/>
    <w:rsid w:val="008F3F03"/>
    <w:rsid w:val="008F6B39"/>
    <w:rsid w:val="0090262A"/>
    <w:rsid w:val="00904F67"/>
    <w:rsid w:val="00906023"/>
    <w:rsid w:val="00906FF6"/>
    <w:rsid w:val="00910753"/>
    <w:rsid w:val="00911A78"/>
    <w:rsid w:val="009139B3"/>
    <w:rsid w:val="00915A00"/>
    <w:rsid w:val="00920451"/>
    <w:rsid w:val="0093183E"/>
    <w:rsid w:val="00931945"/>
    <w:rsid w:val="00933534"/>
    <w:rsid w:val="009342EC"/>
    <w:rsid w:val="00935F31"/>
    <w:rsid w:val="00936453"/>
    <w:rsid w:val="0094109B"/>
    <w:rsid w:val="009412F6"/>
    <w:rsid w:val="0094499F"/>
    <w:rsid w:val="00945E06"/>
    <w:rsid w:val="009462AE"/>
    <w:rsid w:val="009476E4"/>
    <w:rsid w:val="00947C10"/>
    <w:rsid w:val="0095200F"/>
    <w:rsid w:val="009618BC"/>
    <w:rsid w:val="009654B3"/>
    <w:rsid w:val="0096551C"/>
    <w:rsid w:val="009657AD"/>
    <w:rsid w:val="00967553"/>
    <w:rsid w:val="009706EA"/>
    <w:rsid w:val="00971732"/>
    <w:rsid w:val="009869DF"/>
    <w:rsid w:val="009917B5"/>
    <w:rsid w:val="00991C07"/>
    <w:rsid w:val="00993A0E"/>
    <w:rsid w:val="009B3277"/>
    <w:rsid w:val="009D21EA"/>
    <w:rsid w:val="009D415E"/>
    <w:rsid w:val="009E1240"/>
    <w:rsid w:val="009E1EF1"/>
    <w:rsid w:val="009E2931"/>
    <w:rsid w:val="009E6166"/>
    <w:rsid w:val="009F50F6"/>
    <w:rsid w:val="00A0418E"/>
    <w:rsid w:val="00A04A0B"/>
    <w:rsid w:val="00A06C8D"/>
    <w:rsid w:val="00A114A5"/>
    <w:rsid w:val="00A11648"/>
    <w:rsid w:val="00A22ED7"/>
    <w:rsid w:val="00A25F58"/>
    <w:rsid w:val="00A329F0"/>
    <w:rsid w:val="00A44D91"/>
    <w:rsid w:val="00A51B15"/>
    <w:rsid w:val="00A526FC"/>
    <w:rsid w:val="00A52DB1"/>
    <w:rsid w:val="00A53F4D"/>
    <w:rsid w:val="00A53F85"/>
    <w:rsid w:val="00A57D30"/>
    <w:rsid w:val="00A83F93"/>
    <w:rsid w:val="00AA3850"/>
    <w:rsid w:val="00AA66E3"/>
    <w:rsid w:val="00AB2981"/>
    <w:rsid w:val="00AC0041"/>
    <w:rsid w:val="00AC2CCF"/>
    <w:rsid w:val="00AC466F"/>
    <w:rsid w:val="00AC7320"/>
    <w:rsid w:val="00AD1CD4"/>
    <w:rsid w:val="00AD40A0"/>
    <w:rsid w:val="00AE1CBA"/>
    <w:rsid w:val="00AE64DE"/>
    <w:rsid w:val="00AE69D6"/>
    <w:rsid w:val="00AE7049"/>
    <w:rsid w:val="00B07760"/>
    <w:rsid w:val="00B22A11"/>
    <w:rsid w:val="00B250BA"/>
    <w:rsid w:val="00B2571D"/>
    <w:rsid w:val="00B263ED"/>
    <w:rsid w:val="00B26766"/>
    <w:rsid w:val="00B27305"/>
    <w:rsid w:val="00B3141F"/>
    <w:rsid w:val="00B36913"/>
    <w:rsid w:val="00B839D9"/>
    <w:rsid w:val="00B90337"/>
    <w:rsid w:val="00B96F67"/>
    <w:rsid w:val="00BA059A"/>
    <w:rsid w:val="00BA0AB7"/>
    <w:rsid w:val="00BA7436"/>
    <w:rsid w:val="00BB0CF4"/>
    <w:rsid w:val="00BB242F"/>
    <w:rsid w:val="00BC004C"/>
    <w:rsid w:val="00BC04EB"/>
    <w:rsid w:val="00BC16DD"/>
    <w:rsid w:val="00BC5AC2"/>
    <w:rsid w:val="00BD05EF"/>
    <w:rsid w:val="00BD173E"/>
    <w:rsid w:val="00BD6002"/>
    <w:rsid w:val="00BD67F0"/>
    <w:rsid w:val="00BE69A0"/>
    <w:rsid w:val="00BF2B8B"/>
    <w:rsid w:val="00BF5681"/>
    <w:rsid w:val="00C001E7"/>
    <w:rsid w:val="00C036ED"/>
    <w:rsid w:val="00C17096"/>
    <w:rsid w:val="00C251C8"/>
    <w:rsid w:val="00C27D53"/>
    <w:rsid w:val="00C47086"/>
    <w:rsid w:val="00C52135"/>
    <w:rsid w:val="00C53EEC"/>
    <w:rsid w:val="00C66816"/>
    <w:rsid w:val="00C74EC8"/>
    <w:rsid w:val="00C90E91"/>
    <w:rsid w:val="00C914FF"/>
    <w:rsid w:val="00C92628"/>
    <w:rsid w:val="00C96CC8"/>
    <w:rsid w:val="00C9728E"/>
    <w:rsid w:val="00CA06E1"/>
    <w:rsid w:val="00CA486A"/>
    <w:rsid w:val="00CB6EA7"/>
    <w:rsid w:val="00CC0F6C"/>
    <w:rsid w:val="00CD1DC5"/>
    <w:rsid w:val="00CE2107"/>
    <w:rsid w:val="00CE6C2F"/>
    <w:rsid w:val="00CF6A57"/>
    <w:rsid w:val="00D01CC4"/>
    <w:rsid w:val="00D0301A"/>
    <w:rsid w:val="00D07A95"/>
    <w:rsid w:val="00D20343"/>
    <w:rsid w:val="00D25383"/>
    <w:rsid w:val="00D2710E"/>
    <w:rsid w:val="00D30757"/>
    <w:rsid w:val="00D3361B"/>
    <w:rsid w:val="00D35C91"/>
    <w:rsid w:val="00D407C8"/>
    <w:rsid w:val="00D452EA"/>
    <w:rsid w:val="00D52028"/>
    <w:rsid w:val="00D54342"/>
    <w:rsid w:val="00D60367"/>
    <w:rsid w:val="00D633EE"/>
    <w:rsid w:val="00D63641"/>
    <w:rsid w:val="00D65C7E"/>
    <w:rsid w:val="00D6781A"/>
    <w:rsid w:val="00D7155F"/>
    <w:rsid w:val="00D7202E"/>
    <w:rsid w:val="00D73A8A"/>
    <w:rsid w:val="00D749E7"/>
    <w:rsid w:val="00D76362"/>
    <w:rsid w:val="00D80B0D"/>
    <w:rsid w:val="00D94165"/>
    <w:rsid w:val="00D95B39"/>
    <w:rsid w:val="00DA05C8"/>
    <w:rsid w:val="00DA261E"/>
    <w:rsid w:val="00DA5CB2"/>
    <w:rsid w:val="00DB1065"/>
    <w:rsid w:val="00DB14D5"/>
    <w:rsid w:val="00DB245A"/>
    <w:rsid w:val="00DB36F7"/>
    <w:rsid w:val="00DB7652"/>
    <w:rsid w:val="00DC06D0"/>
    <w:rsid w:val="00DC095C"/>
    <w:rsid w:val="00DD35AE"/>
    <w:rsid w:val="00DD3D04"/>
    <w:rsid w:val="00DE5468"/>
    <w:rsid w:val="00DE6B64"/>
    <w:rsid w:val="00DF2B5D"/>
    <w:rsid w:val="00E07A57"/>
    <w:rsid w:val="00E10936"/>
    <w:rsid w:val="00E14053"/>
    <w:rsid w:val="00E14740"/>
    <w:rsid w:val="00E2040F"/>
    <w:rsid w:val="00E376BC"/>
    <w:rsid w:val="00E37C2E"/>
    <w:rsid w:val="00E43FB2"/>
    <w:rsid w:val="00E511EE"/>
    <w:rsid w:val="00E64706"/>
    <w:rsid w:val="00E661BC"/>
    <w:rsid w:val="00E71709"/>
    <w:rsid w:val="00E753B3"/>
    <w:rsid w:val="00E854A1"/>
    <w:rsid w:val="00E87BCC"/>
    <w:rsid w:val="00E90275"/>
    <w:rsid w:val="00EA1F93"/>
    <w:rsid w:val="00EA2E02"/>
    <w:rsid w:val="00EB286F"/>
    <w:rsid w:val="00EB50DF"/>
    <w:rsid w:val="00EB57D4"/>
    <w:rsid w:val="00ED63D7"/>
    <w:rsid w:val="00ED7D19"/>
    <w:rsid w:val="00EE7BDD"/>
    <w:rsid w:val="00EF1243"/>
    <w:rsid w:val="00EF1669"/>
    <w:rsid w:val="00EF1DE5"/>
    <w:rsid w:val="00EF2CBF"/>
    <w:rsid w:val="00EF3C87"/>
    <w:rsid w:val="00EF40B2"/>
    <w:rsid w:val="00EF4326"/>
    <w:rsid w:val="00F02140"/>
    <w:rsid w:val="00F071A8"/>
    <w:rsid w:val="00F1146E"/>
    <w:rsid w:val="00F213F2"/>
    <w:rsid w:val="00F4414A"/>
    <w:rsid w:val="00F463D5"/>
    <w:rsid w:val="00F52C86"/>
    <w:rsid w:val="00F57C63"/>
    <w:rsid w:val="00F66FE5"/>
    <w:rsid w:val="00F71330"/>
    <w:rsid w:val="00F74E79"/>
    <w:rsid w:val="00F7577A"/>
    <w:rsid w:val="00F822F1"/>
    <w:rsid w:val="00F8423F"/>
    <w:rsid w:val="00FA42C5"/>
    <w:rsid w:val="00FA607A"/>
    <w:rsid w:val="00FA732B"/>
    <w:rsid w:val="00FB0EE4"/>
    <w:rsid w:val="00FB171D"/>
    <w:rsid w:val="00FB52A4"/>
    <w:rsid w:val="00FC2CE5"/>
    <w:rsid w:val="00FC57D6"/>
    <w:rsid w:val="00FC7A1E"/>
    <w:rsid w:val="00FD0C87"/>
    <w:rsid w:val="00FD1786"/>
    <w:rsid w:val="00FD3F0F"/>
    <w:rsid w:val="00FE241E"/>
    <w:rsid w:val="00FF1977"/>
    <w:rsid w:val="00FF2A8A"/>
    <w:rsid w:val="00FF339E"/>
    <w:rsid w:val="00FF3A0B"/>
    <w:rsid w:val="019BF621"/>
    <w:rsid w:val="01AE2E00"/>
    <w:rsid w:val="0264C25E"/>
    <w:rsid w:val="0292FC5E"/>
    <w:rsid w:val="04DD0F41"/>
    <w:rsid w:val="0568A873"/>
    <w:rsid w:val="0674187E"/>
    <w:rsid w:val="0676D777"/>
    <w:rsid w:val="068CE939"/>
    <w:rsid w:val="07DF5747"/>
    <w:rsid w:val="07E9C89B"/>
    <w:rsid w:val="08967C2A"/>
    <w:rsid w:val="08D56FD9"/>
    <w:rsid w:val="09544910"/>
    <w:rsid w:val="0A3456B6"/>
    <w:rsid w:val="0A581FEA"/>
    <w:rsid w:val="0AFD5233"/>
    <w:rsid w:val="0B02ED0B"/>
    <w:rsid w:val="0CBE810D"/>
    <w:rsid w:val="0CBF9ED1"/>
    <w:rsid w:val="0D12FE78"/>
    <w:rsid w:val="0E15421B"/>
    <w:rsid w:val="0E84F63E"/>
    <w:rsid w:val="0F8C2D1A"/>
    <w:rsid w:val="1007DC73"/>
    <w:rsid w:val="10ABF726"/>
    <w:rsid w:val="10FE4631"/>
    <w:rsid w:val="1103C2E7"/>
    <w:rsid w:val="11493B97"/>
    <w:rsid w:val="122AB73E"/>
    <w:rsid w:val="12824994"/>
    <w:rsid w:val="12D92ED8"/>
    <w:rsid w:val="137BB7CE"/>
    <w:rsid w:val="13EA54FA"/>
    <w:rsid w:val="14F8E002"/>
    <w:rsid w:val="1656E54D"/>
    <w:rsid w:val="169F159D"/>
    <w:rsid w:val="177D7FD3"/>
    <w:rsid w:val="17B7A4FD"/>
    <w:rsid w:val="1976BD12"/>
    <w:rsid w:val="198F7C5C"/>
    <w:rsid w:val="19F6C3F1"/>
    <w:rsid w:val="1A7E8E70"/>
    <w:rsid w:val="1ACF07EF"/>
    <w:rsid w:val="1B45B5D3"/>
    <w:rsid w:val="1D3E2191"/>
    <w:rsid w:val="1D3FAB62"/>
    <w:rsid w:val="1E0F6F73"/>
    <w:rsid w:val="205CD1B4"/>
    <w:rsid w:val="217633FA"/>
    <w:rsid w:val="227A80D3"/>
    <w:rsid w:val="24DBF8C3"/>
    <w:rsid w:val="25914AB6"/>
    <w:rsid w:val="259D99EE"/>
    <w:rsid w:val="26C05307"/>
    <w:rsid w:val="287158F2"/>
    <w:rsid w:val="2934ECA6"/>
    <w:rsid w:val="299084EB"/>
    <w:rsid w:val="2A271984"/>
    <w:rsid w:val="2B997493"/>
    <w:rsid w:val="2BA574F7"/>
    <w:rsid w:val="2CF11CC7"/>
    <w:rsid w:val="2D078947"/>
    <w:rsid w:val="2E251F57"/>
    <w:rsid w:val="2E5AB429"/>
    <w:rsid w:val="2F8AF7F1"/>
    <w:rsid w:val="30FEB90A"/>
    <w:rsid w:val="31251548"/>
    <w:rsid w:val="315F44DF"/>
    <w:rsid w:val="31A4F352"/>
    <w:rsid w:val="321381B3"/>
    <w:rsid w:val="342635AC"/>
    <w:rsid w:val="357E8357"/>
    <w:rsid w:val="35E79FA0"/>
    <w:rsid w:val="36345C87"/>
    <w:rsid w:val="364E22EE"/>
    <w:rsid w:val="37051BD2"/>
    <w:rsid w:val="37469554"/>
    <w:rsid w:val="3762AC2C"/>
    <w:rsid w:val="37E61192"/>
    <w:rsid w:val="38A5D355"/>
    <w:rsid w:val="39201CAB"/>
    <w:rsid w:val="394A7601"/>
    <w:rsid w:val="39F9B6CB"/>
    <w:rsid w:val="3A660448"/>
    <w:rsid w:val="3AB2FB0C"/>
    <w:rsid w:val="3B04258A"/>
    <w:rsid w:val="3B54F2ED"/>
    <w:rsid w:val="3B8EBD1E"/>
    <w:rsid w:val="3C55A83F"/>
    <w:rsid w:val="3CCC31A5"/>
    <w:rsid w:val="3DE9D175"/>
    <w:rsid w:val="3F437469"/>
    <w:rsid w:val="3FD515D3"/>
    <w:rsid w:val="3FD9AD96"/>
    <w:rsid w:val="404DC839"/>
    <w:rsid w:val="406D9BAC"/>
    <w:rsid w:val="40CBB5A4"/>
    <w:rsid w:val="4118DD98"/>
    <w:rsid w:val="41396E55"/>
    <w:rsid w:val="4153C61F"/>
    <w:rsid w:val="419FA009"/>
    <w:rsid w:val="4200C2C2"/>
    <w:rsid w:val="42080D40"/>
    <w:rsid w:val="424631DC"/>
    <w:rsid w:val="425161E7"/>
    <w:rsid w:val="42976FF6"/>
    <w:rsid w:val="42B77C20"/>
    <w:rsid w:val="42D699A0"/>
    <w:rsid w:val="42FEEEF7"/>
    <w:rsid w:val="4341223B"/>
    <w:rsid w:val="436DC318"/>
    <w:rsid w:val="43CA6DA0"/>
    <w:rsid w:val="43E8FD1C"/>
    <w:rsid w:val="45875FD4"/>
    <w:rsid w:val="45B01720"/>
    <w:rsid w:val="460B0F15"/>
    <w:rsid w:val="4731F8BB"/>
    <w:rsid w:val="4765C62E"/>
    <w:rsid w:val="47A84E24"/>
    <w:rsid w:val="49C7567A"/>
    <w:rsid w:val="49CAE68C"/>
    <w:rsid w:val="4C6E30BC"/>
    <w:rsid w:val="4D17682F"/>
    <w:rsid w:val="4D695449"/>
    <w:rsid w:val="4D9F09D3"/>
    <w:rsid w:val="4E3DF555"/>
    <w:rsid w:val="4E9877B7"/>
    <w:rsid w:val="4EBE0044"/>
    <w:rsid w:val="4F5986C4"/>
    <w:rsid w:val="50AB937C"/>
    <w:rsid w:val="513D9CE9"/>
    <w:rsid w:val="519963E7"/>
    <w:rsid w:val="5254C614"/>
    <w:rsid w:val="52F90885"/>
    <w:rsid w:val="53A70CB8"/>
    <w:rsid w:val="53DF1392"/>
    <w:rsid w:val="53F823D1"/>
    <w:rsid w:val="54C50CD5"/>
    <w:rsid w:val="54F8C93F"/>
    <w:rsid w:val="566B34CF"/>
    <w:rsid w:val="56BF7633"/>
    <w:rsid w:val="57D9702F"/>
    <w:rsid w:val="57FAA153"/>
    <w:rsid w:val="58EF5F69"/>
    <w:rsid w:val="599D2D72"/>
    <w:rsid w:val="59A87571"/>
    <w:rsid w:val="5B5BBAD3"/>
    <w:rsid w:val="5CAC0D08"/>
    <w:rsid w:val="5DB72F71"/>
    <w:rsid w:val="5EBCC554"/>
    <w:rsid w:val="5EF4D4CA"/>
    <w:rsid w:val="5F39A738"/>
    <w:rsid w:val="5F48A1D3"/>
    <w:rsid w:val="6008B113"/>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E3EE3A1"/>
    <w:rsid w:val="70086766"/>
    <w:rsid w:val="70E4B91A"/>
    <w:rsid w:val="711B7997"/>
    <w:rsid w:val="713C99AA"/>
    <w:rsid w:val="718296F9"/>
    <w:rsid w:val="71942640"/>
    <w:rsid w:val="72C7E80C"/>
    <w:rsid w:val="72D05DB1"/>
    <w:rsid w:val="72E53212"/>
    <w:rsid w:val="72EC937B"/>
    <w:rsid w:val="7373BE3F"/>
    <w:rsid w:val="74C103B6"/>
    <w:rsid w:val="74C20C5D"/>
    <w:rsid w:val="753DD58B"/>
    <w:rsid w:val="77019CFA"/>
    <w:rsid w:val="775D6BCB"/>
    <w:rsid w:val="778C3A50"/>
    <w:rsid w:val="77D195D5"/>
    <w:rsid w:val="77DA06CE"/>
    <w:rsid w:val="77E8EA8C"/>
    <w:rsid w:val="785FE481"/>
    <w:rsid w:val="78798FAA"/>
    <w:rsid w:val="78887293"/>
    <w:rsid w:val="79214261"/>
    <w:rsid w:val="79F150E0"/>
    <w:rsid w:val="7B02C25B"/>
    <w:rsid w:val="7B0D197B"/>
    <w:rsid w:val="7B429B8F"/>
    <w:rsid w:val="7BA64D3D"/>
    <w:rsid w:val="7CE18214"/>
    <w:rsid w:val="7D462A8A"/>
    <w:rsid w:val="7D5226F4"/>
    <w:rsid w:val="7D587FE6"/>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1FDD74"/>
  <w15:chartTrackingRefBased/>
  <w15:docId w15:val="{85856C96-E9F4-4163-AA8F-16010248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71716"/>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customStyle="1" w:styleId="0PIRMAS">
    <w:name w:val="0 PIRMAS"/>
    <w:basedOn w:val="BodyText"/>
    <w:link w:val="0PIRMASChar"/>
    <w:autoRedefine/>
    <w:rsid w:val="00A04A0B"/>
    <w:pPr>
      <w:tabs>
        <w:tab w:val="left" w:pos="1134"/>
        <w:tab w:val="left" w:pos="3119"/>
      </w:tabs>
      <w:jc w:val="right"/>
    </w:pPr>
    <w:rPr>
      <w:lang w:val="x-none"/>
    </w:rPr>
  </w:style>
  <w:style w:type="paragraph" w:styleId="BodyTextIndent">
    <w:name w:val="Body Text Indent"/>
    <w:basedOn w:val="Normal"/>
    <w:link w:val="BodyTextIndentChar"/>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A04A0B"/>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920451"/>
    <w:pPr>
      <w:numPr>
        <w:ilvl w:val="1"/>
        <w:numId w:val="34"/>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920451"/>
    <w:pPr>
      <w:numPr>
        <w:ilvl w:val="3"/>
        <w:numId w:val="34"/>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920451"/>
    <w:pPr>
      <w:numPr>
        <w:numId w:val="34"/>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920451"/>
    <w:pPr>
      <w:numPr>
        <w:ilvl w:val="2"/>
        <w:numId w:val="34"/>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920451"/>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920451"/>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920451"/>
  </w:style>
  <w:style w:type="character" w:customStyle="1" w:styleId="eop">
    <w:name w:val="eop"/>
    <w:basedOn w:val="DefaultParagraphFont"/>
    <w:rsid w:val="00920451"/>
  </w:style>
  <w:style w:type="character" w:customStyle="1" w:styleId="mord">
    <w:name w:val="mord"/>
    <w:basedOn w:val="DefaultParagraphFont"/>
    <w:rsid w:val="0020733A"/>
  </w:style>
  <w:style w:type="character" w:customStyle="1" w:styleId="vlist-s">
    <w:name w:val="vlist-s"/>
    <w:basedOn w:val="DefaultParagraphFont"/>
    <w:rsid w:val="0020733A"/>
  </w:style>
  <w:style w:type="character" w:customStyle="1" w:styleId="mrel">
    <w:name w:val="mrel"/>
    <w:basedOn w:val="DefaultParagraphFont"/>
    <w:rsid w:val="0020733A"/>
  </w:style>
  <w:style w:type="character" w:customStyle="1" w:styleId="mbin">
    <w:name w:val="mbin"/>
    <w:basedOn w:val="DefaultParagraphFont"/>
    <w:rsid w:val="0020733A"/>
  </w:style>
  <w:style w:type="paragraph" w:styleId="NormalWeb">
    <w:name w:val="Normal (Web)"/>
    <w:basedOn w:val="Normal"/>
    <w:uiPriority w:val="99"/>
    <w:semiHidden/>
    <w:unhideWhenUsed/>
    <w:rsid w:val="0020733A"/>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katex-mathml">
    <w:name w:val="katex-mathml"/>
    <w:basedOn w:val="DefaultParagraphFont"/>
    <w:rsid w:val="0020733A"/>
  </w:style>
  <w:style w:type="character" w:customStyle="1" w:styleId="mop">
    <w:name w:val="mop"/>
    <w:basedOn w:val="DefaultParagraphFont"/>
    <w:rsid w:val="004E6973"/>
  </w:style>
  <w:style w:type="character" w:styleId="Strong">
    <w:name w:val="Strong"/>
    <w:basedOn w:val="DefaultParagraphFont"/>
    <w:uiPriority w:val="22"/>
    <w:qFormat/>
    <w:rsid w:val="00C53EEC"/>
    <w:rPr>
      <w:b/>
      <w:bCs/>
    </w:rPr>
  </w:style>
  <w:style w:type="paragraph" w:styleId="Footer">
    <w:name w:val="footer"/>
    <w:basedOn w:val="Normal"/>
    <w:link w:val="FooterChar"/>
    <w:uiPriority w:val="99"/>
    <w:unhideWhenUsed/>
    <w:rsid w:val="009410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109B"/>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828586">
      <w:bodyDiv w:val="1"/>
      <w:marLeft w:val="0"/>
      <w:marRight w:val="0"/>
      <w:marTop w:val="0"/>
      <w:marBottom w:val="0"/>
      <w:divBdr>
        <w:top w:val="none" w:sz="0" w:space="0" w:color="auto"/>
        <w:left w:val="none" w:sz="0" w:space="0" w:color="auto"/>
        <w:bottom w:val="none" w:sz="0" w:space="0" w:color="auto"/>
        <w:right w:val="none" w:sz="0" w:space="0" w:color="auto"/>
      </w:divBdr>
    </w:div>
    <w:div w:id="314453158">
      <w:bodyDiv w:val="1"/>
      <w:marLeft w:val="0"/>
      <w:marRight w:val="0"/>
      <w:marTop w:val="0"/>
      <w:marBottom w:val="0"/>
      <w:divBdr>
        <w:top w:val="none" w:sz="0" w:space="0" w:color="auto"/>
        <w:left w:val="none" w:sz="0" w:space="0" w:color="auto"/>
        <w:bottom w:val="none" w:sz="0" w:space="0" w:color="auto"/>
        <w:right w:val="none" w:sz="0" w:space="0" w:color="auto"/>
      </w:divBdr>
      <w:divsChild>
        <w:div w:id="931478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483229903">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vpp.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73BF5-0667-4AB6-A266-5AF5E1F06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7726</Words>
  <Characters>4404</Characters>
  <Application>Microsoft Office Word</Application>
  <DocSecurity>0</DocSecurity>
  <Lines>36</Lines>
  <Paragraphs>24</Paragraphs>
  <ScaleCrop>false</ScaleCrop>
  <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72</cp:revision>
  <dcterms:created xsi:type="dcterms:W3CDTF">2026-05-15T09:33:00Z</dcterms:created>
  <dcterms:modified xsi:type="dcterms:W3CDTF">2026-05-25T05:22:00Z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ContentTypeId">
    <vt:lpwstr>0x010100A63828A8D412DE41A11DB1A8E20B49E9</vt:lpwstr>
  </property>
</Properties>
</file>